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75A5D" w14:textId="7C96F34F" w:rsidR="00DF78F9" w:rsidRPr="00737CE6" w:rsidRDefault="00DF78F9" w:rsidP="00DF78F9">
      <w:pPr>
        <w:spacing w:before="100" w:beforeAutospacing="1" w:after="100" w:afterAutospacing="1" w:line="480" w:lineRule="auto"/>
        <w:outlineLvl w:val="2"/>
        <w:rPr>
          <w:rFonts w:ascii="Times New Roman" w:eastAsia="Times New Roman" w:hAnsi="Times New Roman" w:cs="Times New Roman"/>
          <w:b/>
          <w:bCs/>
          <w:kern w:val="0"/>
          <w:sz w:val="27"/>
          <w:szCs w:val="27"/>
          <w14:ligatures w14:val="none"/>
        </w:rPr>
      </w:pPr>
      <w:r w:rsidRPr="00737CE6">
        <w:rPr>
          <w:rFonts w:ascii="Times New Roman" w:eastAsia="Times New Roman" w:hAnsi="Times New Roman" w:cs="Times New Roman"/>
          <w:b/>
          <w:bCs/>
          <w:kern w:val="0"/>
          <w:sz w:val="27"/>
          <w:szCs w:val="27"/>
          <w14:ligatures w14:val="none"/>
        </w:rPr>
        <w:t xml:space="preserve">Worker with a Bacterial Foot Infection  </w:t>
      </w:r>
      <w:r>
        <w:rPr>
          <w:rFonts w:ascii="Times New Roman" w:eastAsia="Times New Roman" w:hAnsi="Times New Roman" w:cs="Times New Roman"/>
          <w:b/>
          <w:bCs/>
          <w:kern w:val="0"/>
          <w:sz w:val="27"/>
          <w:szCs w:val="27"/>
          <w14:ligatures w14:val="none"/>
        </w:rPr>
        <w:t>/ correction plan</w:t>
      </w:r>
    </w:p>
    <w:p w14:paraId="6F427195"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737CE6">
        <w:rPr>
          <w:rFonts w:ascii="Times New Roman" w:eastAsia="Times New Roman" w:hAnsi="Times New Roman" w:cs="Times New Roman"/>
          <w:kern w:val="0"/>
          <w14:ligatures w14:val="none"/>
        </w:rPr>
        <w:t>During my rotation, I observed a situation that required care, attention to regulatory compliance, and a respectful approach toward employee health. The issue involved one of the kitchen staff at Aramark who had a bacterial infection on his foot. Given that this employee works in a food-service environment, the matter raised hygiene and safety concerns that merited immediate attention.</w:t>
      </w:r>
    </w:p>
    <w:p w14:paraId="630C4C20"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737CE6">
        <w:rPr>
          <w:rFonts w:ascii="Times New Roman" w:eastAsia="Times New Roman" w:hAnsi="Times New Roman" w:cs="Times New Roman"/>
          <w:kern w:val="0"/>
          <w14:ligatures w14:val="none"/>
        </w:rPr>
        <w:t>In institutional food service settings, it is essential that employees follow hygiene protocols and that the facility provides appropriate physical separations and accommodations for changing clothing, storing personal items, and preventing contamination of food preparation and service areas.</w:t>
      </w:r>
    </w:p>
    <w:p w14:paraId="69D15026"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737CE6">
        <w:rPr>
          <w:rFonts w:ascii="Times New Roman" w:eastAsia="Times New Roman" w:hAnsi="Times New Roman" w:cs="Times New Roman"/>
          <w:kern w:val="0"/>
          <w14:ligatures w14:val="none"/>
        </w:rPr>
        <w:t>According to the 2022 FDA Food Code, Chapter 6 (Physical Facilities):</w:t>
      </w:r>
      <w:r>
        <w:rPr>
          <w:rFonts w:ascii="Times New Roman" w:eastAsia="Times New Roman" w:hAnsi="Times New Roman" w:cs="Times New Roman"/>
          <w:kern w:val="0"/>
          <w14:ligatures w14:val="none"/>
        </w:rPr>
        <w:t xml:space="preserve"> </w:t>
      </w:r>
      <w:r w:rsidRPr="00737CE6">
        <w:rPr>
          <w:rFonts w:ascii="Times New Roman" w:eastAsia="Times New Roman" w:hAnsi="Times New Roman" w:cs="Times New Roman"/>
          <w:kern w:val="0"/>
          <w14:ligatures w14:val="none"/>
        </w:rPr>
        <w:t xml:space="preserve">Section 6-305.11 (Designation) states that </w:t>
      </w:r>
      <w:r w:rsidRPr="00737CE6">
        <w:rPr>
          <w:rFonts w:ascii="Times New Roman" w:eastAsia="Times New Roman" w:hAnsi="Times New Roman" w:cs="Times New Roman"/>
          <w:i/>
          <w:iCs/>
          <w:kern w:val="0"/>
          <w14:ligatures w14:val="none"/>
        </w:rPr>
        <w:t>“</w:t>
      </w:r>
      <w:r w:rsidRPr="00737CE6">
        <w:rPr>
          <w:rFonts w:ascii="Times New Roman" w:eastAsia="Times New Roman" w:hAnsi="Times New Roman" w:cs="Times New Roman"/>
          <w:kern w:val="0"/>
          <w14:ligatures w14:val="none"/>
        </w:rPr>
        <w:t>dressing rooms or dressing areas shall be designated if employees routinely change their clothes in the establishment</w:t>
      </w:r>
      <w:r w:rsidRPr="00737CE6">
        <w:rPr>
          <w:rFonts w:ascii="Times New Roman" w:eastAsia="Times New Roman" w:hAnsi="Times New Roman" w:cs="Times New Roman"/>
          <w:i/>
          <w:iCs/>
          <w:kern w:val="0"/>
          <w14:ligatures w14:val="none"/>
        </w:rPr>
        <w:t>.”</w:t>
      </w:r>
      <w:r w:rsidRPr="00737CE6">
        <w:rPr>
          <w:rFonts w:ascii="Times New Roman" w:eastAsia="Times New Roman" w:hAnsi="Times New Roman" w:cs="Times New Roman"/>
          <w:kern w:val="0"/>
          <w14:ligatures w14:val="none"/>
        </w:rPr>
        <w:t xml:space="preserve"> Furthermore, Section 6-501.110 (Using Dressing Rooms and Lockers) clarifies that </w:t>
      </w:r>
      <w:r w:rsidRPr="00737CE6">
        <w:rPr>
          <w:rFonts w:ascii="Times New Roman" w:eastAsia="Times New Roman" w:hAnsi="Times New Roman" w:cs="Times New Roman"/>
          <w:i/>
          <w:iCs/>
          <w:kern w:val="0"/>
          <w14:ligatures w14:val="none"/>
        </w:rPr>
        <w:t>“</w:t>
      </w:r>
      <w:r w:rsidRPr="00737CE6">
        <w:rPr>
          <w:rFonts w:ascii="Times New Roman" w:eastAsia="Times New Roman" w:hAnsi="Times New Roman" w:cs="Times New Roman"/>
          <w:kern w:val="0"/>
          <w14:ligatures w14:val="none"/>
        </w:rPr>
        <w:t>dressing rooms shall be used by employees if the employees regularly change their clothes in the establishment</w:t>
      </w:r>
      <w:r w:rsidRPr="00737CE6">
        <w:rPr>
          <w:rFonts w:ascii="Times New Roman" w:eastAsia="Times New Roman" w:hAnsi="Times New Roman" w:cs="Times New Roman"/>
          <w:i/>
          <w:iCs/>
          <w:kern w:val="0"/>
          <w14:ligatures w14:val="none"/>
        </w:rPr>
        <w:t>”</w:t>
      </w:r>
      <w:r w:rsidRPr="00737CE6">
        <w:rPr>
          <w:rFonts w:ascii="Times New Roman" w:eastAsia="Times New Roman" w:hAnsi="Times New Roman" w:cs="Times New Roman"/>
          <w:kern w:val="0"/>
          <w14:ligatures w14:val="none"/>
        </w:rPr>
        <w:t xml:space="preserve"> and </w:t>
      </w:r>
      <w:r w:rsidRPr="00737CE6">
        <w:rPr>
          <w:rFonts w:ascii="Times New Roman" w:eastAsia="Times New Roman" w:hAnsi="Times New Roman" w:cs="Times New Roman"/>
          <w:i/>
          <w:iCs/>
          <w:kern w:val="0"/>
          <w14:ligatures w14:val="none"/>
        </w:rPr>
        <w:t>“</w:t>
      </w:r>
      <w:r w:rsidRPr="00737CE6">
        <w:rPr>
          <w:rFonts w:ascii="Times New Roman" w:eastAsia="Times New Roman" w:hAnsi="Times New Roman" w:cs="Times New Roman"/>
          <w:kern w:val="0"/>
          <w14:ligatures w14:val="none"/>
        </w:rPr>
        <w:t xml:space="preserve">lockers or other suitable facilities shall be used for the orderly storage of employee clothing and other possessions.” </w:t>
      </w:r>
      <w:r>
        <w:t>(FDA, 2022)</w:t>
      </w:r>
    </w:p>
    <w:p w14:paraId="1DFCAA8F"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These provisions underscore that a food-service provider must provide dedicated changing/dressing rooms and storage for employee apparel as part of the physical-facility design and operation. Using a restroom for changing uniforms, especially in a food-preparation context, deviates from these regulatory requirements and poses a risk of cross-contamination.</w:t>
      </w:r>
    </w:p>
    <w:p w14:paraId="0127E0E2"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lastRenderedPageBreak/>
        <w:t>In the scenario I observed:</w:t>
      </w:r>
    </w:p>
    <w:p w14:paraId="71EAE2AA" w14:textId="77777777" w:rsidR="00DF78F9" w:rsidRPr="00737CE6" w:rsidRDefault="00DF78F9" w:rsidP="00DF78F9">
      <w:pPr>
        <w:numPr>
          <w:ilvl w:val="0"/>
          <w:numId w:val="1"/>
        </w:num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The worker with the foot infection was not using the designated changing room provided for food-service staff.</w:t>
      </w:r>
    </w:p>
    <w:p w14:paraId="5B06862C" w14:textId="77777777" w:rsidR="00DF78F9" w:rsidRPr="00737CE6" w:rsidRDefault="00DF78F9" w:rsidP="00DF78F9">
      <w:pPr>
        <w:numPr>
          <w:ilvl w:val="0"/>
          <w:numId w:val="1"/>
        </w:num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Instead, he and his coworkers had arranged for a chair in the bathroom so that he could sit and change there, ostensibly for his comfort given his medical condition.</w:t>
      </w:r>
    </w:p>
    <w:p w14:paraId="2456394D" w14:textId="77777777" w:rsidR="00DF78F9" w:rsidRPr="00737CE6" w:rsidRDefault="00DF78F9" w:rsidP="00DF78F9">
      <w:pPr>
        <w:numPr>
          <w:ilvl w:val="0"/>
          <w:numId w:val="1"/>
        </w:num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While this was done with good intentions by the staff, the arrangement conflicted with the facility’s hygiene policy and potentially with the Food Code’s requirement for a dedicated dressing area and proper storage of employee clothing.</w:t>
      </w:r>
    </w:p>
    <w:p w14:paraId="1AE1075B"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The general manager recognized the seriousness of the situation: a worker with a bacterial infection, changing clothes in a restroom, and possible non-compliance with physical-facility requirements. However, she was reluctant to address the employee directly, citing the sensitivity of the worker’s health condition and her desire to avoid embarrassment or awkwardness.</w:t>
      </w:r>
    </w:p>
    <w:p w14:paraId="45E3F35E"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Recognizing the need for both regulatory compliance and compassionate management, I proposed a step-wise approach:</w:t>
      </w:r>
    </w:p>
    <w:p w14:paraId="54FC37A9"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          </w:t>
      </w:r>
      <w:r w:rsidRPr="00737CE6">
        <w:rPr>
          <w:rFonts w:ascii="Times New Roman" w:eastAsia="Times New Roman" w:hAnsi="Times New Roman" w:cs="Times New Roman"/>
          <w:kern w:val="0"/>
          <w14:ligatures w14:val="none"/>
        </w:rPr>
        <w:t>Reiterate safe-facility rules in the next staff meeting: In the upcoming “Safe Check” meeting, the manager would remind all staff of the policy regarding changing rooms, locker use, and the proper place to change into uniforms</w:t>
      </w:r>
      <w:r>
        <w:rPr>
          <w:rFonts w:ascii="Times New Roman" w:eastAsia="Times New Roman" w:hAnsi="Times New Roman" w:cs="Times New Roman"/>
          <w:kern w:val="0"/>
          <w14:ligatures w14:val="none"/>
        </w:rPr>
        <w:t xml:space="preserve">, </w:t>
      </w:r>
      <w:r w:rsidRPr="00737CE6">
        <w:rPr>
          <w:rFonts w:ascii="Times New Roman" w:eastAsia="Times New Roman" w:hAnsi="Times New Roman" w:cs="Times New Roman"/>
          <w:kern w:val="0"/>
          <w14:ligatures w14:val="none"/>
        </w:rPr>
        <w:t xml:space="preserve"> referencing the facility’s own procedures and the regulatory expectations (as outlined in the Food Code). This would serve as a general reminder, without singling out the worker, thus providing a low-confrontation first step.</w:t>
      </w:r>
    </w:p>
    <w:p w14:paraId="6AF0386A"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 xml:space="preserve">If the behavior persists, arrange a private discussion: If no change occurred after the group reminder, the manager would invite the employee for a confidential, respectful conversation. The </w:t>
      </w:r>
      <w:r w:rsidRPr="00737CE6">
        <w:rPr>
          <w:rFonts w:ascii="Times New Roman" w:eastAsia="Times New Roman" w:hAnsi="Times New Roman" w:cs="Times New Roman"/>
          <w:kern w:val="0"/>
          <w14:ligatures w14:val="none"/>
        </w:rPr>
        <w:lastRenderedPageBreak/>
        <w:t>discussion would focus on the importance of using the designated changing room</w:t>
      </w:r>
      <w:r>
        <w:rPr>
          <w:rFonts w:ascii="Times New Roman" w:eastAsia="Times New Roman" w:hAnsi="Times New Roman" w:cs="Times New Roman"/>
          <w:kern w:val="0"/>
          <w14:ligatures w14:val="none"/>
        </w:rPr>
        <w:t xml:space="preserve">, </w:t>
      </w:r>
      <w:r w:rsidRPr="00737CE6">
        <w:rPr>
          <w:rFonts w:ascii="Times New Roman" w:eastAsia="Times New Roman" w:hAnsi="Times New Roman" w:cs="Times New Roman"/>
          <w:kern w:val="0"/>
          <w14:ligatures w14:val="none"/>
        </w:rPr>
        <w:t>not as a punishment, but as a food-safety measure and workplace requirement, while acknowledging his comfort needs due to his foot infection.</w:t>
      </w:r>
    </w:p>
    <w:p w14:paraId="1CB13B89"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Provide practical accommodations: To address the underlying issue (the worker’s comfort and mobility concerns), the manager could assess whether the designated changing room could be made more accessible for example, placing a chair or bench in the dressing area, ensuring it is comfortable for employees with mobility limitations or an injury, rather than relocating the changing activity to the bathroom. This approach maintains compliance (dressing room + locker storage) while addressing the employee’s needs.</w:t>
      </w:r>
    </w:p>
    <w:p w14:paraId="5645C85E" w14:textId="77777777" w:rsidR="00DF78F9" w:rsidRPr="00737CE6" w:rsidRDefault="00DF78F9" w:rsidP="00DF78F9">
      <w:p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The manager approved this approach, recognizing that it balanced the organization’s obligation to adhere to food-service facility standards and the employee’s dignity and health.</w:t>
      </w:r>
    </w:p>
    <w:p w14:paraId="4E249092" w14:textId="77777777" w:rsidR="00DF78F9" w:rsidRPr="00737CE6" w:rsidRDefault="00DF78F9" w:rsidP="00DF78F9">
      <w:pPr>
        <w:numPr>
          <w:ilvl w:val="0"/>
          <w:numId w:val="2"/>
        </w:num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The next day, during the scheduled meeting, the manager reminded staff of the proper changing-room usage and uniform-storage policy, referencing the facility’s standard procedures and the principles in the Food Code (dressing rooms required when employees routinely change clothing).</w:t>
      </w:r>
    </w:p>
    <w:p w14:paraId="6BCB0362" w14:textId="77777777" w:rsidR="00DF78F9" w:rsidRPr="00737CE6" w:rsidRDefault="00DF78F9" w:rsidP="00DF78F9">
      <w:pPr>
        <w:numPr>
          <w:ilvl w:val="0"/>
          <w:numId w:val="2"/>
        </w:numPr>
        <w:spacing w:before="100" w:beforeAutospacing="1" w:after="100" w:afterAutospacing="1" w:line="480" w:lineRule="auto"/>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She also arranged for the designated dressing room to be evaluated for comfort and accessibility, including the possibility of adding a chair or bench for employees with limited mobility, thereby meeting both compliance and employee-well-being goals.</w:t>
      </w:r>
    </w:p>
    <w:p w14:paraId="664DB857" w14:textId="77777777" w:rsidR="00DF78F9" w:rsidRPr="00737CE6" w:rsidRDefault="00DF78F9" w:rsidP="00DF78F9">
      <w:pPr>
        <w:spacing w:before="100" w:beforeAutospacing="1" w:after="100" w:afterAutospacing="1" w:line="480" w:lineRule="auto"/>
        <w:ind w:left="720"/>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t>For employees: The solution respected the worker’s medical concern and comfort needs, provided a supportive environment, and avoided embarrassment while ensuring compliance.</w:t>
      </w:r>
    </w:p>
    <w:p w14:paraId="4EA5D778" w14:textId="77777777" w:rsidR="00DF78F9" w:rsidRPr="00737CE6" w:rsidRDefault="00DF78F9" w:rsidP="00DF78F9">
      <w:pPr>
        <w:spacing w:before="100" w:beforeAutospacing="1" w:after="100" w:afterAutospacing="1" w:line="480" w:lineRule="auto"/>
        <w:ind w:left="720"/>
        <w:rPr>
          <w:rFonts w:ascii="Times New Roman" w:eastAsia="Times New Roman" w:hAnsi="Times New Roman" w:cs="Times New Roman"/>
          <w:kern w:val="0"/>
          <w14:ligatures w14:val="none"/>
        </w:rPr>
      </w:pPr>
      <w:r w:rsidRPr="00737CE6">
        <w:rPr>
          <w:rFonts w:ascii="Times New Roman" w:eastAsia="Times New Roman" w:hAnsi="Times New Roman" w:cs="Times New Roman"/>
          <w:kern w:val="0"/>
          <w14:ligatures w14:val="none"/>
        </w:rPr>
        <w:lastRenderedPageBreak/>
        <w:t>For the employer (Aramark): This approach improved operational hygiene, minimized the risk of cross-contamination or regulatory non-compliance, and demonstrated a culture of safety, respect, and professional standards</w:t>
      </w:r>
      <w:r>
        <w:rPr>
          <w:rFonts w:ascii="Times New Roman" w:eastAsia="Times New Roman" w:hAnsi="Times New Roman" w:cs="Times New Roman"/>
          <w:kern w:val="0"/>
          <w14:ligatures w14:val="none"/>
        </w:rPr>
        <w:t>,</w:t>
      </w:r>
      <w:r w:rsidRPr="00737CE6">
        <w:rPr>
          <w:rFonts w:ascii="Times New Roman" w:eastAsia="Times New Roman" w:hAnsi="Times New Roman" w:cs="Times New Roman"/>
          <w:kern w:val="0"/>
          <w14:ligatures w14:val="none"/>
        </w:rPr>
        <w:t xml:space="preserve"> which can reduce liability and improve employee morale.</w:t>
      </w:r>
    </w:p>
    <w:p w14:paraId="4B47E5B8" w14:textId="77777777" w:rsidR="00DF78F9" w:rsidRDefault="00DF78F9" w:rsidP="00DF78F9">
      <w:pPr>
        <w:pStyle w:val="NormalWeb"/>
        <w:spacing w:before="0" w:beforeAutospacing="0" w:after="0" w:afterAutospacing="0" w:line="480" w:lineRule="auto"/>
        <w:ind w:left="720" w:hanging="720"/>
      </w:pPr>
      <w:r>
        <w:t>References:</w:t>
      </w:r>
    </w:p>
    <w:p w14:paraId="2044967E" w14:textId="77777777" w:rsidR="00DF78F9" w:rsidRDefault="00DF78F9" w:rsidP="00DF78F9">
      <w:pPr>
        <w:pStyle w:val="NormalWeb"/>
        <w:spacing w:before="0" w:beforeAutospacing="0" w:after="0" w:afterAutospacing="0" w:line="480" w:lineRule="auto"/>
        <w:ind w:left="720" w:hanging="720"/>
      </w:pPr>
      <w:r>
        <w:t xml:space="preserve">FDA. (2022). </w:t>
      </w:r>
      <w:r>
        <w:rPr>
          <w:i/>
          <w:iCs/>
        </w:rPr>
        <w:t>Food Code</w:t>
      </w:r>
      <w:r>
        <w:t>. https://www.fda.gov/media/164194/download?attachment</w:t>
      </w:r>
    </w:p>
    <w:p w14:paraId="024E20AA" w14:textId="77777777" w:rsidR="00DF78F9" w:rsidRPr="008802AB" w:rsidRDefault="00DF78F9" w:rsidP="00DF78F9">
      <w:pPr>
        <w:spacing w:line="480" w:lineRule="auto"/>
      </w:pPr>
    </w:p>
    <w:p w14:paraId="12266D36" w14:textId="77777777" w:rsidR="004B76F7" w:rsidRDefault="004B76F7"/>
    <w:sectPr w:rsidR="004B76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B0499"/>
    <w:multiLevelType w:val="multilevel"/>
    <w:tmpl w:val="369A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E90904"/>
    <w:multiLevelType w:val="multilevel"/>
    <w:tmpl w:val="0AA0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1484461">
    <w:abstractNumId w:val="0"/>
  </w:num>
  <w:num w:numId="2" w16cid:durableId="1275936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F9"/>
    <w:rsid w:val="00236FF7"/>
    <w:rsid w:val="00355CA8"/>
    <w:rsid w:val="004B76F7"/>
    <w:rsid w:val="006528A3"/>
    <w:rsid w:val="00853215"/>
    <w:rsid w:val="00D23787"/>
    <w:rsid w:val="00DF78F9"/>
  </w:rsids>
  <m:mathPr>
    <m:mathFont m:val="Cambria Math"/>
    <m:brkBin m:val="before"/>
    <m:brkBinSub m:val="--"/>
    <m:smallFrac m:val="0"/>
    <m:dispDef/>
    <m:lMargin m:val="0"/>
    <m:rMargin m:val="0"/>
    <m:defJc m:val="centerGroup"/>
    <m:wrapIndent m:val="1440"/>
    <m:intLim m:val="subSup"/>
    <m:naryLim m:val="undOvr"/>
  </m:mathPr>
  <w:themeFontLang w:val="en-PS" w:bidi="ar-SA"/>
  <w:clrSchemeMapping w:bg1="light1" w:t1="dark1" w:bg2="light2" w:t2="dark2" w:accent1="accent1" w:accent2="accent2" w:accent3="accent3" w:accent4="accent4" w:accent5="accent5" w:accent6="accent6" w:hyperlink="hyperlink" w:followedHyperlink="followedHyperlink"/>
  <w:decimalSymbol w:val="."/>
  <w:listSeparator w:val=","/>
  <w14:docId w14:val="71A0BDF7"/>
  <w15:chartTrackingRefBased/>
  <w15:docId w15:val="{49CFE8B3-669B-6F46-8D3D-A9D2D496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8F9"/>
  </w:style>
  <w:style w:type="paragraph" w:styleId="Heading1">
    <w:name w:val="heading 1"/>
    <w:basedOn w:val="Normal"/>
    <w:next w:val="Normal"/>
    <w:link w:val="Heading1Char"/>
    <w:uiPriority w:val="9"/>
    <w:qFormat/>
    <w:rsid w:val="00DF7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8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8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8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8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8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8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8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8F9"/>
    <w:rPr>
      <w:rFonts w:eastAsiaTheme="majorEastAsia" w:cstheme="majorBidi"/>
      <w:color w:val="272727" w:themeColor="text1" w:themeTint="D8"/>
    </w:rPr>
  </w:style>
  <w:style w:type="paragraph" w:styleId="Title">
    <w:name w:val="Title"/>
    <w:basedOn w:val="Normal"/>
    <w:next w:val="Normal"/>
    <w:link w:val="TitleChar"/>
    <w:uiPriority w:val="10"/>
    <w:qFormat/>
    <w:rsid w:val="00DF7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8F9"/>
    <w:pPr>
      <w:spacing w:before="160"/>
      <w:jc w:val="center"/>
    </w:pPr>
    <w:rPr>
      <w:i/>
      <w:iCs/>
      <w:color w:val="404040" w:themeColor="text1" w:themeTint="BF"/>
    </w:rPr>
  </w:style>
  <w:style w:type="character" w:customStyle="1" w:styleId="QuoteChar">
    <w:name w:val="Quote Char"/>
    <w:basedOn w:val="DefaultParagraphFont"/>
    <w:link w:val="Quote"/>
    <w:uiPriority w:val="29"/>
    <w:rsid w:val="00DF78F9"/>
    <w:rPr>
      <w:i/>
      <w:iCs/>
      <w:color w:val="404040" w:themeColor="text1" w:themeTint="BF"/>
    </w:rPr>
  </w:style>
  <w:style w:type="paragraph" w:styleId="ListParagraph">
    <w:name w:val="List Paragraph"/>
    <w:basedOn w:val="Normal"/>
    <w:uiPriority w:val="34"/>
    <w:qFormat/>
    <w:rsid w:val="00DF78F9"/>
    <w:pPr>
      <w:ind w:left="720"/>
      <w:contextualSpacing/>
    </w:pPr>
  </w:style>
  <w:style w:type="character" w:styleId="IntenseEmphasis">
    <w:name w:val="Intense Emphasis"/>
    <w:basedOn w:val="DefaultParagraphFont"/>
    <w:uiPriority w:val="21"/>
    <w:qFormat/>
    <w:rsid w:val="00DF78F9"/>
    <w:rPr>
      <w:i/>
      <w:iCs/>
      <w:color w:val="0F4761" w:themeColor="accent1" w:themeShade="BF"/>
    </w:rPr>
  </w:style>
  <w:style w:type="paragraph" w:styleId="IntenseQuote">
    <w:name w:val="Intense Quote"/>
    <w:basedOn w:val="Normal"/>
    <w:next w:val="Normal"/>
    <w:link w:val="IntenseQuoteChar"/>
    <w:uiPriority w:val="30"/>
    <w:qFormat/>
    <w:rsid w:val="00DF7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8F9"/>
    <w:rPr>
      <w:i/>
      <w:iCs/>
      <w:color w:val="0F4761" w:themeColor="accent1" w:themeShade="BF"/>
    </w:rPr>
  </w:style>
  <w:style w:type="character" w:styleId="IntenseReference">
    <w:name w:val="Intense Reference"/>
    <w:basedOn w:val="DefaultParagraphFont"/>
    <w:uiPriority w:val="32"/>
    <w:qFormat/>
    <w:rsid w:val="00DF78F9"/>
    <w:rPr>
      <w:b/>
      <w:bCs/>
      <w:smallCaps/>
      <w:color w:val="0F4761" w:themeColor="accent1" w:themeShade="BF"/>
      <w:spacing w:val="5"/>
    </w:rPr>
  </w:style>
  <w:style w:type="paragraph" w:styleId="NormalWeb">
    <w:name w:val="Normal (Web)"/>
    <w:basedOn w:val="Normal"/>
    <w:uiPriority w:val="99"/>
    <w:unhideWhenUsed/>
    <w:rsid w:val="00DF78F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Dasa, Asma</dc:creator>
  <cp:keywords/>
  <dc:description/>
  <cp:lastModifiedBy>Dasa, Asma</cp:lastModifiedBy>
  <cp:revision>1</cp:revision>
  <dcterms:created xsi:type="dcterms:W3CDTF">2025-10-22T16:49:00Z</dcterms:created>
  <dcterms:modified xsi:type="dcterms:W3CDTF">2025-10-22T16:50:00Z</dcterms:modified>
</cp:coreProperties>
</file>