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2903" w14:textId="1A28DAAE" w:rsidR="004B76F7" w:rsidRDefault="002102FD">
      <w:pPr>
        <w:rPr>
          <w:lang w:val="en-US"/>
        </w:rPr>
      </w:pPr>
      <w:r>
        <w:rPr>
          <w:lang w:val="en-US"/>
        </w:rPr>
        <w:t xml:space="preserve">Alternate practice hours </w:t>
      </w:r>
    </w:p>
    <w:p w14:paraId="16CDD9C3" w14:textId="0F9842EF" w:rsidR="002102FD" w:rsidRDefault="002102FD">
      <w:pPr>
        <w:rPr>
          <w:rStyle w:val="markedcontent"/>
          <w:rFonts w:ascii="Arial" w:hAnsi="Arial" w:cs="Arial"/>
          <w:sz w:val="21"/>
          <w:szCs w:val="21"/>
          <w:shd w:val="clear" w:color="auto" w:fill="FFFFFF"/>
        </w:rPr>
      </w:pPr>
      <w:r>
        <w:rPr>
          <w:rStyle w:val="markedcontent"/>
          <w:rFonts w:ascii="Arial" w:hAnsi="Arial" w:cs="Arial"/>
          <w:sz w:val="21"/>
          <w:szCs w:val="21"/>
          <w:shd w:val="clear" w:color="auto" w:fill="FFFFFF"/>
        </w:rPr>
        <w:t>SHRM McHugh Collective</w:t>
      </w:r>
      <w:r>
        <w:rPr>
          <w:rFonts w:ascii="Arial" w:hAnsi="Arial" w:cs="Arial"/>
          <w:shd w:val="clear" w:color="auto" w:fill="FFFFFF"/>
        </w:rPr>
        <w:t xml:space="preserve"> </w:t>
      </w:r>
      <w:r>
        <w:rPr>
          <w:rStyle w:val="markedcontent"/>
          <w:rFonts w:ascii="Arial" w:hAnsi="Arial" w:cs="Arial"/>
          <w:sz w:val="21"/>
          <w:szCs w:val="21"/>
          <w:shd w:val="clear" w:color="auto" w:fill="FFFFFF"/>
        </w:rPr>
        <w:t xml:space="preserve">Bargaining </w:t>
      </w:r>
      <w:r>
        <w:rPr>
          <w:rStyle w:val="markedcontent"/>
          <w:rFonts w:ascii="Arial" w:hAnsi="Arial" w:cs="Arial"/>
          <w:sz w:val="21"/>
          <w:szCs w:val="21"/>
          <w:shd w:val="clear" w:color="auto" w:fill="FFFFFF"/>
        </w:rPr>
        <w:t>–</w:t>
      </w:r>
      <w:r>
        <w:rPr>
          <w:rStyle w:val="markedcontent"/>
          <w:rFonts w:ascii="Arial" w:hAnsi="Arial" w:cs="Arial"/>
          <w:sz w:val="21"/>
          <w:szCs w:val="21"/>
          <w:shd w:val="clear" w:color="auto" w:fill="FFFFFF"/>
        </w:rPr>
        <w:t xml:space="preserve"> Union</w:t>
      </w:r>
    </w:p>
    <w:p w14:paraId="137F4E31" w14:textId="77777777" w:rsidR="002102FD" w:rsidRPr="00580E89" w:rsidRDefault="002102FD">
      <w:pPr>
        <w:rPr>
          <w:rStyle w:val="markedcontent"/>
          <w:rFonts w:ascii="Arial" w:hAnsi="Arial" w:cs="Arial"/>
          <w:b/>
          <w:bCs/>
          <w:sz w:val="21"/>
          <w:szCs w:val="21"/>
          <w:shd w:val="clear" w:color="auto" w:fill="FFFFFF"/>
        </w:rPr>
      </w:pPr>
      <w:r w:rsidRPr="00580E89">
        <w:rPr>
          <w:rStyle w:val="markedcontent"/>
          <w:rFonts w:ascii="Arial" w:hAnsi="Arial" w:cs="Arial"/>
          <w:b/>
          <w:bCs/>
          <w:sz w:val="21"/>
          <w:szCs w:val="21"/>
          <w:shd w:val="clear" w:color="auto" w:fill="FFFFFF"/>
        </w:rPr>
        <w:t>P7 Case Question 2</w:t>
      </w:r>
    </w:p>
    <w:p w14:paraId="6AE4776F" w14:textId="2D3185C7" w:rsidR="002102FD" w:rsidRPr="00580E89" w:rsidRDefault="002102FD">
      <w:pPr>
        <w:rPr>
          <w:rStyle w:val="markedcontent"/>
          <w:rFonts w:ascii="Arial" w:hAnsi="Arial" w:cs="Arial"/>
          <w:b/>
          <w:bCs/>
          <w:sz w:val="21"/>
          <w:szCs w:val="21"/>
          <w:shd w:val="clear" w:color="auto" w:fill="FFFFFF"/>
        </w:rPr>
      </w:pPr>
      <w:r w:rsidRPr="00580E89">
        <w:rPr>
          <w:b/>
          <w:bCs/>
          <w:shd w:val="clear" w:color="auto" w:fill="FFFFFF"/>
        </w:rPr>
        <w:t>. Would you consider the RA position to be a job? Does this mean that RAs are employees</w:t>
      </w:r>
      <w:r w:rsidRPr="00580E89">
        <w:rPr>
          <w:rFonts w:ascii="Arial" w:hAnsi="Arial" w:cs="Arial"/>
          <w:b/>
          <w:bCs/>
        </w:rPr>
        <w:br/>
      </w:r>
      <w:r w:rsidRPr="00580E89">
        <w:rPr>
          <w:b/>
          <w:bCs/>
          <w:shd w:val="clear" w:color="auto" w:fill="FFFFFF"/>
        </w:rPr>
        <w:t>of the university, or are they students? Why do you think that might be important?</w:t>
      </w:r>
    </w:p>
    <w:p w14:paraId="3A84145E" w14:textId="77777777" w:rsidR="002102FD" w:rsidRDefault="002102FD">
      <w:pPr>
        <w:rPr>
          <w:rStyle w:val="markedcontent"/>
          <w:rFonts w:ascii="Arial" w:hAnsi="Arial" w:cs="Arial"/>
          <w:sz w:val="21"/>
          <w:szCs w:val="21"/>
          <w:shd w:val="clear" w:color="auto" w:fill="FFFFFF"/>
        </w:rPr>
      </w:pPr>
    </w:p>
    <w:p w14:paraId="40A410FA" w14:textId="6567CC53" w:rsidR="00290E59" w:rsidRDefault="00290E59" w:rsidP="00290E59">
      <w:pPr>
        <w:pStyle w:val="NormalWeb"/>
      </w:pPr>
      <w:r>
        <w:t xml:space="preserve">The </w:t>
      </w:r>
      <w:r>
        <w:t xml:space="preserve">RA </w:t>
      </w:r>
      <w:r>
        <w:t>position can be considered both a job and a student leadership role. According to the case, RAs sign contracts, have defined job descriptions, undergo training, receive stipends and housing benefits, and are subject to supervision and progressive discipline. These features are consistent with employment relationships recognized under labor law.</w:t>
      </w:r>
    </w:p>
    <w:p w14:paraId="712C114C" w14:textId="25D5356E" w:rsidR="00290E59" w:rsidRDefault="00290E59" w:rsidP="00290E59">
      <w:pPr>
        <w:pStyle w:val="NormalWeb"/>
      </w:pPr>
      <w:r>
        <w:t xml:space="preserve">At the same time, RAs are also students who must maintain </w:t>
      </w:r>
      <w:r w:rsidR="00580E89">
        <w:t>their</w:t>
      </w:r>
      <w:r>
        <w:t xml:space="preserve"> GPA requirements</w:t>
      </w:r>
      <w:r w:rsidR="00580E89">
        <w:t xml:space="preserve"> </w:t>
      </w:r>
      <w:r>
        <w:t>to keep the role, and their responsibilities are tied to fostering the residential learning environment. This dual status is important because it shapes legal and institutional debates. Universities often emphasize the student-leader aspect to argue against unionization, while RAs highlight the employment conditions</w:t>
      </w:r>
      <w:r w:rsidR="00580E89">
        <w:t xml:space="preserve"> </w:t>
      </w:r>
      <w:r>
        <w:t>to support collective bargaining rights.</w:t>
      </w:r>
    </w:p>
    <w:p w14:paraId="42A07F94" w14:textId="77777777" w:rsidR="00290E59" w:rsidRDefault="00290E59" w:rsidP="00290E59">
      <w:pPr>
        <w:pStyle w:val="NormalWeb"/>
      </w:pPr>
      <w:r>
        <w:t>Recognizing RAs as both students and employees is crucial because it determines access to labor protections, collective bargaining rights, and fair treatment. It also influences how universities balance academic policies with workplace regulations. Keeping RAs acknowledges the essential support they provide to campus life while also ensuring they have protections that respect the employment-like aspects of their role</w:t>
      </w:r>
    </w:p>
    <w:p w14:paraId="50BFC72E" w14:textId="77777777" w:rsidR="002102FD" w:rsidRDefault="002102FD">
      <w:pPr>
        <w:rPr>
          <w:rStyle w:val="markedcontent"/>
          <w:rFonts w:ascii="Arial" w:hAnsi="Arial" w:cs="Arial"/>
          <w:sz w:val="21"/>
          <w:szCs w:val="21"/>
          <w:shd w:val="clear" w:color="auto" w:fill="FFFFFF"/>
        </w:rPr>
      </w:pPr>
    </w:p>
    <w:p w14:paraId="3B352BEB" w14:textId="77777777" w:rsidR="00580E89" w:rsidRPr="00585B02" w:rsidRDefault="002102FD">
      <w:pPr>
        <w:rPr>
          <w:b/>
          <w:bCs/>
        </w:rPr>
      </w:pPr>
      <w:r>
        <w:rPr>
          <w:rFonts w:ascii="Arial" w:hAnsi="Arial" w:cs="Arial"/>
          <w:shd w:val="clear" w:color="auto" w:fill="FFFFFF"/>
        </w:rPr>
        <w:br/>
      </w:r>
      <w:r w:rsidRPr="00585B02">
        <w:rPr>
          <w:b/>
          <w:bCs/>
        </w:rPr>
        <w:t>P11-12 Case Questions 1 &amp; 3</w:t>
      </w:r>
    </w:p>
    <w:p w14:paraId="6CFCC26A" w14:textId="5307FE33" w:rsidR="00580E89" w:rsidRPr="00585B02" w:rsidRDefault="00580E89">
      <w:pPr>
        <w:rPr>
          <w:b/>
          <w:bCs/>
          <w:shd w:val="clear" w:color="auto" w:fill="FFFFFF"/>
        </w:rPr>
      </w:pPr>
      <w:r w:rsidRPr="00585B02">
        <w:rPr>
          <w:b/>
          <w:bCs/>
          <w:shd w:val="clear" w:color="auto" w:fill="FFFFFF"/>
        </w:rPr>
        <w:t>Case Questions:</w:t>
      </w:r>
      <w:r w:rsidRPr="00585B02">
        <w:rPr>
          <w:b/>
          <w:bCs/>
          <w:shd w:val="clear" w:color="auto" w:fill="FFFFFF"/>
        </w:rPr>
        <w:br/>
        <w:t>1. What are the key factors that led some RAs to have interest in union representation?</w:t>
      </w:r>
      <w:r w:rsidRPr="00585B02">
        <w:rPr>
          <w:b/>
          <w:bCs/>
          <w:shd w:val="clear" w:color="auto" w:fill="FFFFFF"/>
        </w:rPr>
        <w:br/>
        <w:t>Do you think that RAs have legitimate job-related concerns, or are the RA complaints</w:t>
      </w:r>
      <w:r w:rsidRPr="00585B02">
        <w:rPr>
          <w:b/>
          <w:bCs/>
          <w:shd w:val="clear" w:color="auto" w:fill="FFFFFF"/>
        </w:rPr>
        <w:br/>
        <w:t>overstated?</w:t>
      </w:r>
    </w:p>
    <w:p w14:paraId="625716A1" w14:textId="110F8E0C" w:rsidR="00580E89" w:rsidRDefault="00580E89" w:rsidP="00580E89">
      <w:pPr>
        <w:pStyle w:val="NormalWeb"/>
      </w:pPr>
      <w:r>
        <w:t xml:space="preserve">Several factors led </w:t>
      </w:r>
      <w:r>
        <w:t xml:space="preserve">Ras </w:t>
      </w:r>
      <w:r>
        <w:t>to push for union representation:</w:t>
      </w:r>
    </w:p>
    <w:p w14:paraId="420BF722" w14:textId="1CC917F0" w:rsidR="00580E89" w:rsidRDefault="00580E89" w:rsidP="00580E89">
      <w:pPr>
        <w:pStyle w:val="NormalWeb"/>
        <w:numPr>
          <w:ilvl w:val="0"/>
          <w:numId w:val="1"/>
        </w:numPr>
      </w:pPr>
      <w:r>
        <w:t>RAs noted that residents could receive a warning for rule violations, while RAs faced immediate termination, losing both job and housing. Many viewed this as arbitrary and unjust.</w:t>
      </w:r>
    </w:p>
    <w:p w14:paraId="60149942" w14:textId="69A800CA" w:rsidR="00580E89" w:rsidRDefault="00580E89" w:rsidP="00580E89">
      <w:pPr>
        <w:pStyle w:val="NormalWeb"/>
        <w:numPr>
          <w:ilvl w:val="0"/>
          <w:numId w:val="1"/>
        </w:numPr>
      </w:pPr>
      <w:r>
        <w:t>Unlike residents, RAs had no formal grievance system. Proposals to implement one were dismissed by Residence Life administrators.</w:t>
      </w:r>
    </w:p>
    <w:p w14:paraId="114864E0" w14:textId="6F31BABC" w:rsidR="00580E89" w:rsidRPr="00585B02" w:rsidRDefault="00585B02" w:rsidP="00580E89">
      <w:pPr>
        <w:pStyle w:val="NormalWeb"/>
        <w:numPr>
          <w:ilvl w:val="0"/>
          <w:numId w:val="1"/>
        </w:numPr>
        <w:rPr>
          <w:shd w:val="clear" w:color="auto" w:fill="FFFFFF"/>
        </w:rPr>
      </w:pPr>
      <w:r>
        <w:rPr>
          <w:shd w:val="clear" w:color="auto" w:fill="FFFFFF"/>
        </w:rPr>
        <w:lastRenderedPageBreak/>
        <w:t>financial concern</w:t>
      </w:r>
      <w:r>
        <w:rPr>
          <w:shd w:val="clear" w:color="auto" w:fill="FFFFFF"/>
        </w:rPr>
        <w:t xml:space="preserve">, </w:t>
      </w:r>
      <w:r w:rsidR="00580E89" w:rsidRPr="00585B02">
        <w:rPr>
          <w:shd w:val="clear" w:color="auto" w:fill="FFFFFF"/>
        </w:rPr>
        <w:t>RAs earned about $140 a week, but $90 was deducted for housing, leaving roughly $50 for 20 hours of work. This equated to about $2.50 an hour, well below Massachusetts minimum wage at the time.</w:t>
      </w:r>
      <w:r w:rsidRPr="00585B02">
        <w:rPr>
          <w:shd w:val="clear" w:color="auto" w:fill="FFFFFF"/>
        </w:rPr>
        <w:t xml:space="preserve"> </w:t>
      </w:r>
      <w:r>
        <w:rPr>
          <w:shd w:val="clear" w:color="auto" w:fill="FFFFFF"/>
        </w:rPr>
        <w:t>his left many R As</w:t>
      </w:r>
      <w:r w:rsidRPr="00585B02">
        <w:rPr>
          <w:shd w:val="clear" w:color="auto" w:fill="FFFFFF"/>
        </w:rPr>
        <w:br/>
      </w:r>
      <w:r>
        <w:rPr>
          <w:shd w:val="clear" w:color="auto" w:fill="FFFFFF"/>
        </w:rPr>
        <w:t>feeling underpaid, believing they were on-call 24 hours a day and working more</w:t>
      </w:r>
      <w:r w:rsidRPr="00585B02">
        <w:rPr>
          <w:shd w:val="clear" w:color="auto" w:fill="FFFFFF"/>
        </w:rPr>
        <w:br/>
      </w:r>
      <w:r>
        <w:rPr>
          <w:shd w:val="clear" w:color="auto" w:fill="FFFFFF"/>
        </w:rPr>
        <w:t>than 20 hours per week.</w:t>
      </w:r>
    </w:p>
    <w:p w14:paraId="2152AE6F" w14:textId="66FAACEA" w:rsidR="00580E89" w:rsidRPr="00585B02" w:rsidRDefault="00580E89" w:rsidP="00580E89">
      <w:pPr>
        <w:pStyle w:val="NormalWeb"/>
        <w:numPr>
          <w:ilvl w:val="0"/>
          <w:numId w:val="1"/>
        </w:numPr>
        <w:rPr>
          <w:shd w:val="clear" w:color="auto" w:fill="FFFFFF"/>
        </w:rPr>
      </w:pPr>
      <w:r w:rsidRPr="00585B02">
        <w:rPr>
          <w:shd w:val="clear" w:color="auto" w:fill="FFFFFF"/>
        </w:rPr>
        <w:t>Respect and dignity</w:t>
      </w:r>
      <w:r w:rsidR="00585B02" w:rsidRPr="00585B02">
        <w:rPr>
          <w:shd w:val="clear" w:color="auto" w:fill="FFFFFF"/>
        </w:rPr>
        <w:t>,</w:t>
      </w:r>
      <w:r w:rsidRPr="00585B02">
        <w:rPr>
          <w:shd w:val="clear" w:color="auto" w:fill="FFFFFF"/>
        </w:rPr>
        <w:t xml:space="preserve"> Many RAs expressed that they lacked respect and voice in decisions affecting their work. They sought collective bargaining as a way to gain recognition and fairness.</w:t>
      </w:r>
    </w:p>
    <w:p w14:paraId="7BFA8F9E" w14:textId="7BFF5687" w:rsidR="00580E89" w:rsidRDefault="00580E89" w:rsidP="00580E89">
      <w:pPr>
        <w:pStyle w:val="NormalWeb"/>
        <w:numPr>
          <w:ilvl w:val="0"/>
          <w:numId w:val="1"/>
        </w:numPr>
      </w:pPr>
      <w:r w:rsidRPr="00585B02">
        <w:rPr>
          <w:shd w:val="clear" w:color="auto" w:fill="FFFFFF"/>
        </w:rPr>
        <w:t>High turnover</w:t>
      </w:r>
      <w:r w:rsidR="00585B02" w:rsidRPr="00585B02">
        <w:rPr>
          <w:shd w:val="clear" w:color="auto" w:fill="FFFFFF"/>
        </w:rPr>
        <w:t xml:space="preserve">, </w:t>
      </w:r>
      <w:r w:rsidRPr="00585B02">
        <w:rPr>
          <w:shd w:val="clear" w:color="auto" w:fill="FFFFFF"/>
        </w:rPr>
        <w:t>A 50% turnover rate signaled dissatisfaction with the position and supported arguments</w:t>
      </w:r>
      <w:r>
        <w:t xml:space="preserve"> that working conditions needed improvement.</w:t>
      </w:r>
    </w:p>
    <w:p w14:paraId="2EB96A35" w14:textId="2C18F432" w:rsidR="00580E89" w:rsidRPr="00585B02" w:rsidRDefault="00580E89" w:rsidP="00585B02">
      <w:pPr>
        <w:pStyle w:val="NormalWeb"/>
      </w:pPr>
      <w:r>
        <w:t>Overall, these concerns were legitimate and work-related. They reflected issues of fairness, compensation, and respect that are central to employment relationships, rather than being overstated complaints</w:t>
      </w:r>
    </w:p>
    <w:p w14:paraId="2D4389AC" w14:textId="45413662" w:rsidR="00580E89" w:rsidRDefault="00580E89">
      <w:pPr>
        <w:rPr>
          <w:b/>
          <w:bCs/>
        </w:rPr>
      </w:pPr>
      <w:r w:rsidRPr="00585B02">
        <w:rPr>
          <w:b/>
          <w:bCs/>
        </w:rPr>
        <w:t>3. How does the law regarding union recognition for public employees in Massachusetts</w:t>
      </w:r>
      <w:r w:rsidR="00270716">
        <w:rPr>
          <w:b/>
          <w:bCs/>
        </w:rPr>
        <w:t xml:space="preserve"> </w:t>
      </w:r>
      <w:r w:rsidRPr="00585B02">
        <w:rPr>
          <w:b/>
          <w:bCs/>
        </w:rPr>
        <w:t>compare with the NLRA rules regarding union recognition for private-sector</w:t>
      </w:r>
      <w:r w:rsidR="00270716">
        <w:rPr>
          <w:b/>
          <w:bCs/>
        </w:rPr>
        <w:t xml:space="preserve"> </w:t>
      </w:r>
      <w:r w:rsidRPr="00585B02">
        <w:rPr>
          <w:b/>
          <w:bCs/>
        </w:rPr>
        <w:t>employees?</w:t>
      </w:r>
    </w:p>
    <w:p w14:paraId="754D874C" w14:textId="77777777" w:rsidR="00270716" w:rsidRDefault="00270716">
      <w:pPr>
        <w:rPr>
          <w:b/>
          <w:bCs/>
        </w:rPr>
      </w:pPr>
    </w:p>
    <w:tbl>
      <w:tblPr>
        <w:tblStyle w:val="TableGrid"/>
        <w:tblW w:w="0" w:type="auto"/>
        <w:tblLook w:val="04A0" w:firstRow="1" w:lastRow="0" w:firstColumn="1" w:lastColumn="0" w:noHBand="0" w:noVBand="1"/>
      </w:tblPr>
      <w:tblGrid>
        <w:gridCol w:w="4675"/>
        <w:gridCol w:w="4675"/>
      </w:tblGrid>
      <w:tr w:rsidR="00270716" w14:paraId="71CD1D53" w14:textId="77777777" w:rsidTr="00270716">
        <w:tc>
          <w:tcPr>
            <w:tcW w:w="4675" w:type="dxa"/>
          </w:tcPr>
          <w:p w14:paraId="071D7EF3" w14:textId="77777777" w:rsidR="00270716" w:rsidRDefault="00270716" w:rsidP="00270716">
            <w:pPr>
              <w:pStyle w:val="NormalWeb"/>
              <w:numPr>
                <w:ilvl w:val="0"/>
                <w:numId w:val="2"/>
              </w:numPr>
            </w:pPr>
            <w:r>
              <w:rPr>
                <w:rStyle w:val="Strong"/>
                <w:rFonts w:eastAsiaTheme="majorEastAsia"/>
              </w:rPr>
              <w:t>Massachusetts law (public sector):</w:t>
            </w:r>
          </w:p>
          <w:p w14:paraId="0F4524FF" w14:textId="77777777" w:rsidR="00270716" w:rsidRDefault="00270716">
            <w:pPr>
              <w:rPr>
                <w:b/>
                <w:bCs/>
              </w:rPr>
            </w:pPr>
          </w:p>
        </w:tc>
        <w:tc>
          <w:tcPr>
            <w:tcW w:w="4675" w:type="dxa"/>
          </w:tcPr>
          <w:p w14:paraId="08C61665" w14:textId="77777777" w:rsidR="00270716" w:rsidRDefault="00270716" w:rsidP="00270716">
            <w:pPr>
              <w:pStyle w:val="NormalWeb"/>
              <w:numPr>
                <w:ilvl w:val="0"/>
                <w:numId w:val="2"/>
              </w:numPr>
            </w:pPr>
            <w:r>
              <w:rPr>
                <w:rStyle w:val="Strong"/>
                <w:rFonts w:eastAsiaTheme="majorEastAsia"/>
              </w:rPr>
              <w:t>NLRA (private sector):</w:t>
            </w:r>
          </w:p>
          <w:p w14:paraId="6AA9090D" w14:textId="77777777" w:rsidR="00270716" w:rsidRDefault="00270716">
            <w:pPr>
              <w:rPr>
                <w:b/>
                <w:bCs/>
              </w:rPr>
            </w:pPr>
          </w:p>
        </w:tc>
      </w:tr>
      <w:tr w:rsidR="00270716" w14:paraId="0467231F" w14:textId="77777777" w:rsidTr="00270716">
        <w:tc>
          <w:tcPr>
            <w:tcW w:w="4675" w:type="dxa"/>
          </w:tcPr>
          <w:p w14:paraId="22F76538" w14:textId="77777777" w:rsidR="00270716" w:rsidRDefault="00270716" w:rsidP="00270716">
            <w:pPr>
              <w:pStyle w:val="NormalWeb"/>
              <w:numPr>
                <w:ilvl w:val="1"/>
                <w:numId w:val="2"/>
              </w:numPr>
              <w:tabs>
                <w:tab w:val="clear" w:pos="1440"/>
                <w:tab w:val="num" w:pos="1023"/>
              </w:tabs>
              <w:ind w:left="173" w:hanging="142"/>
            </w:pPr>
            <w:r>
              <w:t>Public employees, including RAs, gained collective bargaining rights through state law in 1973.</w:t>
            </w:r>
          </w:p>
          <w:p w14:paraId="07F2D3D6" w14:textId="77777777" w:rsidR="00270716" w:rsidRDefault="00270716" w:rsidP="00270716">
            <w:pPr>
              <w:pStyle w:val="NormalWeb"/>
              <w:numPr>
                <w:ilvl w:val="1"/>
                <w:numId w:val="2"/>
              </w:numPr>
              <w:tabs>
                <w:tab w:val="clear" w:pos="1440"/>
                <w:tab w:val="num" w:pos="1023"/>
              </w:tabs>
              <w:ind w:left="173" w:hanging="142"/>
            </w:pPr>
            <w:r>
              <w:t xml:space="preserve">Recognition can occur either through </w:t>
            </w:r>
            <w:r w:rsidRPr="00585B02">
              <w:t>voluntary recognition</w:t>
            </w:r>
            <w:r>
              <w:t xml:space="preserve"> or a </w:t>
            </w:r>
            <w:r w:rsidRPr="00585B02">
              <w:t>secret-ballot election</w:t>
            </w:r>
            <w:r>
              <w:t xml:space="preserve"> overseen by the Massachusetts Labor Relations Commission (MLRC). At least 30% of employees must show interest for an election to be held, and majority support (50% +1) certifies the union.</w:t>
            </w:r>
          </w:p>
          <w:p w14:paraId="64EADEAE" w14:textId="77777777" w:rsidR="00270716" w:rsidRDefault="00270716">
            <w:pPr>
              <w:rPr>
                <w:b/>
                <w:bCs/>
              </w:rPr>
            </w:pPr>
          </w:p>
        </w:tc>
        <w:tc>
          <w:tcPr>
            <w:tcW w:w="4675" w:type="dxa"/>
          </w:tcPr>
          <w:p w14:paraId="396759A4" w14:textId="77777777" w:rsidR="00270716" w:rsidRDefault="00270716" w:rsidP="00270716">
            <w:pPr>
              <w:pStyle w:val="NormalWeb"/>
              <w:numPr>
                <w:ilvl w:val="1"/>
                <w:numId w:val="2"/>
              </w:numPr>
              <w:tabs>
                <w:tab w:val="clear" w:pos="1440"/>
              </w:tabs>
              <w:ind w:left="167" w:hanging="284"/>
            </w:pPr>
            <w:r>
              <w:t>Established in 1935, it grants private-sector employees the right to organize and bargain collectively.</w:t>
            </w:r>
          </w:p>
          <w:p w14:paraId="6DE5F64B" w14:textId="77777777" w:rsidR="00270716" w:rsidRDefault="00270716" w:rsidP="00270716">
            <w:pPr>
              <w:pStyle w:val="NormalWeb"/>
              <w:numPr>
                <w:ilvl w:val="1"/>
                <w:numId w:val="2"/>
              </w:numPr>
              <w:ind w:left="308" w:hanging="425"/>
            </w:pPr>
            <w:r>
              <w:t>Like Massachusetts law, recognition is typically achieved through majority support in a secret-ballot election supervised by the National Labor Relations Board (NLRB), or via voluntary recognition by the employer.</w:t>
            </w:r>
          </w:p>
          <w:p w14:paraId="216D97D9" w14:textId="77777777" w:rsidR="00270716" w:rsidRDefault="00270716">
            <w:pPr>
              <w:rPr>
                <w:b/>
                <w:bCs/>
              </w:rPr>
            </w:pPr>
          </w:p>
        </w:tc>
      </w:tr>
    </w:tbl>
    <w:p w14:paraId="1D5300A1" w14:textId="77777777" w:rsidR="00270716" w:rsidRPr="00585B02" w:rsidRDefault="00270716">
      <w:pPr>
        <w:rPr>
          <w:b/>
          <w:bCs/>
        </w:rPr>
      </w:pPr>
    </w:p>
    <w:p w14:paraId="66BE95DD" w14:textId="4197D764" w:rsidR="00585B02" w:rsidRDefault="00585B02" w:rsidP="00585B02">
      <w:pPr>
        <w:pStyle w:val="NormalWeb"/>
      </w:pPr>
      <w:r>
        <w:rPr>
          <w:rStyle w:val="Strong"/>
          <w:rFonts w:eastAsiaTheme="majorEastAsia"/>
        </w:rPr>
        <w:t>summury</w:t>
      </w:r>
    </w:p>
    <w:p w14:paraId="3888391F" w14:textId="77777777" w:rsidR="00585B02" w:rsidRDefault="00585B02" w:rsidP="00585B02">
      <w:pPr>
        <w:pStyle w:val="NormalWeb"/>
        <w:numPr>
          <w:ilvl w:val="0"/>
          <w:numId w:val="3"/>
        </w:numPr>
      </w:pPr>
      <w:r>
        <w:t>The NLRA does not apply to public-sector workers; they are governed by state laws.</w:t>
      </w:r>
    </w:p>
    <w:p w14:paraId="5D041B13" w14:textId="77777777" w:rsidR="00585B02" w:rsidRDefault="00585B02" w:rsidP="00585B02">
      <w:pPr>
        <w:pStyle w:val="NormalWeb"/>
        <w:numPr>
          <w:ilvl w:val="0"/>
          <w:numId w:val="3"/>
        </w:numPr>
      </w:pPr>
      <w:r>
        <w:t>Public-sector bargaining often has restrictions on strikes and permissible topics of negotiation, while the private sector has broader scope under the NLRA.</w:t>
      </w:r>
    </w:p>
    <w:p w14:paraId="7EB4CB55" w14:textId="54D32925" w:rsidR="00585B02" w:rsidRPr="00270716" w:rsidRDefault="00585B02" w:rsidP="00270716">
      <w:pPr>
        <w:pStyle w:val="NormalWeb"/>
        <w:numPr>
          <w:ilvl w:val="0"/>
          <w:numId w:val="3"/>
        </w:numPr>
      </w:pPr>
      <w:r>
        <w:t>Massachusetts law closely mirrors the NLRA but is specific to state and municipal employe</w:t>
      </w:r>
    </w:p>
    <w:p w14:paraId="7ABD2615" w14:textId="77777777" w:rsidR="00585B02" w:rsidRPr="00270716" w:rsidRDefault="002102FD">
      <w:pPr>
        <w:rPr>
          <w:b/>
          <w:bCs/>
        </w:rPr>
      </w:pPr>
      <w:r>
        <w:rPr>
          <w:rFonts w:ascii="Arial" w:hAnsi="Arial" w:cs="Arial"/>
          <w:shd w:val="clear" w:color="auto" w:fill="FFFFFF"/>
        </w:rPr>
        <w:lastRenderedPageBreak/>
        <w:br/>
      </w:r>
      <w:r w:rsidRPr="00270716">
        <w:rPr>
          <w:b/>
          <w:bCs/>
        </w:rPr>
        <w:t>P16 Case Questions 1&amp;2</w:t>
      </w:r>
    </w:p>
    <w:p w14:paraId="3BDEC2E2" w14:textId="77777777" w:rsidR="00585B02" w:rsidRPr="00270716" w:rsidRDefault="00585B02">
      <w:pPr>
        <w:rPr>
          <w:b/>
          <w:bCs/>
        </w:rPr>
      </w:pPr>
      <w:r w:rsidRPr="00270716">
        <w:rPr>
          <w:b/>
          <w:bCs/>
        </w:rPr>
        <w:t>Case Questions:</w:t>
      </w:r>
      <w:r w:rsidRPr="00270716">
        <w:rPr>
          <w:b/>
          <w:bCs/>
        </w:rPr>
        <w:br/>
        <w:t>1. Were the university and union election campaign activities effective?</w:t>
      </w:r>
    </w:p>
    <w:p w14:paraId="5EA562EC" w14:textId="2F3984DD" w:rsidR="00270716" w:rsidRDefault="00270716" w:rsidP="00270716">
      <w:pPr>
        <w:pStyle w:val="NormalWeb"/>
      </w:pPr>
      <w:r>
        <w:t>The election campaign activities of both the university and the union were impactful, though in very different ways. The university tried to persuade RAs not to unionize through mandatory staff meetings, letters, and administrative discussions. Interim Chancellor Williams even apologized for previously stating that being an RA was not a job, which had offended many RAs. These actions showed the administration was actively campaigning, but some RAs saw them as dismissive or disrespectful, further fueling union support.</w:t>
      </w:r>
    </w:p>
    <w:p w14:paraId="09D0E3DC" w14:textId="77777777" w:rsidR="00270716" w:rsidRDefault="00270716" w:rsidP="00270716">
      <w:pPr>
        <w:pStyle w:val="NormalWeb"/>
      </w:pPr>
      <w:r>
        <w:t>On the other side, the union emphasized empowerment, fairness, and respect. They stressed that the RA role involved real work with legitimate concerns about pay, benefits, and working conditions. Union supporters framed the campaign as a chance to secure a collective voice. This resonated strongly, with many RAs highlighting respect and dignity as key issues rather than just wages .</w:t>
      </w:r>
    </w:p>
    <w:p w14:paraId="2DC22685" w14:textId="77777777" w:rsidR="00270716" w:rsidRDefault="00270716" w:rsidP="00270716">
      <w:pPr>
        <w:pStyle w:val="NormalWeb"/>
      </w:pPr>
      <w:r>
        <w:t>Overall, the union’s campaign seemed more effective, as it addressed RAs’ frustrations and values, while the university’s campaign often backfired by reinforcing feelings of being undervalued.</w:t>
      </w:r>
    </w:p>
    <w:p w14:paraId="319D9533" w14:textId="287A3970" w:rsidR="00585B02" w:rsidRPr="002F08B7" w:rsidRDefault="00585B02">
      <w:pPr>
        <w:rPr>
          <w:b/>
          <w:bCs/>
        </w:rPr>
      </w:pPr>
      <w:r>
        <w:rPr>
          <w:rFonts w:ascii="Arial" w:hAnsi="Arial" w:cs="Arial"/>
        </w:rPr>
        <w:br/>
      </w:r>
      <w:r w:rsidRPr="002F08B7">
        <w:rPr>
          <w:b/>
          <w:bCs/>
        </w:rPr>
        <w:t>2. What role did the media play in the election campaign? Is media accuracy important?</w:t>
      </w:r>
    </w:p>
    <w:p w14:paraId="530FFCB7" w14:textId="10A11026" w:rsidR="003E55E4" w:rsidRDefault="003E55E4" w:rsidP="00CC6449">
      <w:pPr>
        <w:pStyle w:val="NormalWeb"/>
      </w:pPr>
      <w:r>
        <w:t>The media played a</w:t>
      </w:r>
      <w:r>
        <w:t xml:space="preserve">n important </w:t>
      </w:r>
      <w:r>
        <w:t xml:space="preserve">role in shaping perceptions of the unionization effort. </w:t>
      </w:r>
    </w:p>
    <w:p w14:paraId="275EE6ED" w14:textId="744CE820" w:rsidR="003E55E4" w:rsidRDefault="003E55E4" w:rsidP="003E55E4">
      <w:pPr>
        <w:pStyle w:val="NormalWeb"/>
      </w:pPr>
      <w:r>
        <w:t>the press highlighted the broader debate and helped raise awareness among the campus community and the public. Media accuracy was extremely important because misrepresentation could sway undecided RAs or undermine the legitimacy of the union effort. Accurate reporting ensured that both sides of the argument were visible and that RAs could make an informed choice.</w:t>
      </w:r>
    </w:p>
    <w:p w14:paraId="6F3E75E2" w14:textId="77777777" w:rsidR="00585B02" w:rsidRDefault="00585B02">
      <w:pPr>
        <w:rPr>
          <w:rStyle w:val="markedcontent"/>
          <w:rFonts w:ascii="Arial" w:hAnsi="Arial" w:cs="Arial"/>
          <w:sz w:val="21"/>
          <w:szCs w:val="21"/>
          <w:shd w:val="clear" w:color="auto" w:fill="FFFFFF"/>
        </w:rPr>
      </w:pPr>
    </w:p>
    <w:p w14:paraId="2E1C74EB" w14:textId="77777777" w:rsidR="00585B02" w:rsidRDefault="00585B02">
      <w:pPr>
        <w:rPr>
          <w:rStyle w:val="markedcontent"/>
          <w:rFonts w:ascii="Arial" w:hAnsi="Arial" w:cs="Arial"/>
          <w:sz w:val="21"/>
          <w:szCs w:val="21"/>
          <w:shd w:val="clear" w:color="auto" w:fill="FFFFFF"/>
        </w:rPr>
      </w:pPr>
    </w:p>
    <w:p w14:paraId="1CD518B4" w14:textId="77777777" w:rsidR="00437314" w:rsidRDefault="002102FD">
      <w:pPr>
        <w:rPr>
          <w:rStyle w:val="markedcontent"/>
          <w:rFonts w:ascii="Arial" w:hAnsi="Arial" w:cs="Arial"/>
          <w:sz w:val="21"/>
          <w:szCs w:val="21"/>
          <w:shd w:val="clear" w:color="auto" w:fill="FFFFFF"/>
        </w:rPr>
      </w:pPr>
      <w:r>
        <w:rPr>
          <w:rFonts w:ascii="Arial" w:hAnsi="Arial" w:cs="Arial"/>
          <w:shd w:val="clear" w:color="auto" w:fill="FFFFFF"/>
        </w:rPr>
        <w:br/>
      </w:r>
      <w:r>
        <w:rPr>
          <w:rStyle w:val="markedcontent"/>
          <w:rFonts w:ascii="Arial" w:hAnsi="Arial" w:cs="Arial"/>
          <w:sz w:val="21"/>
          <w:szCs w:val="21"/>
          <w:shd w:val="clear" w:color="auto" w:fill="FFFFFF"/>
        </w:rPr>
        <w:t>P19 Case Question 1</w:t>
      </w:r>
    </w:p>
    <w:p w14:paraId="4B03D4B3" w14:textId="77777777" w:rsidR="00437314" w:rsidRPr="00437314" w:rsidRDefault="00437314" w:rsidP="00437314">
      <w:pPr>
        <w:spacing w:after="0" w:line="240" w:lineRule="auto"/>
        <w:rPr>
          <w:rFonts w:ascii="Times New Roman" w:eastAsia="Times New Roman" w:hAnsi="Times New Roman" w:cs="Times New Roman"/>
          <w:kern w:val="0"/>
          <w14:ligatures w14:val="none"/>
        </w:rPr>
      </w:pPr>
      <w:r w:rsidRPr="00437314">
        <w:rPr>
          <w:rFonts w:ascii="Times New Roman" w:eastAsia="Times New Roman" w:hAnsi="Times New Roman" w:cs="Times New Roman"/>
          <w:kern w:val="0"/>
          <w:shd w:val="clear" w:color="auto" w:fill="FFFFFF"/>
          <w14:ligatures w14:val="none"/>
        </w:rPr>
        <w:t>1. What does it mean to “bargain in good faith”?</w:t>
      </w:r>
    </w:p>
    <w:p w14:paraId="5F84AFE6" w14:textId="2F13506B" w:rsidR="00437314" w:rsidRPr="00EC2659" w:rsidRDefault="00437314" w:rsidP="00437314">
      <w:pPr>
        <w:pStyle w:val="NormalWeb"/>
      </w:pPr>
      <w:r w:rsidRPr="00EC2659">
        <w:lastRenderedPageBreak/>
        <w:t xml:space="preserve">To bargain in good faith means that both the employer and the employees’ union must approach negotiations with a serious intent to reach an agreement and with mutual respect for the process. It does not mean that either side must accept the other’s proposals, but </w:t>
      </w:r>
      <w:r w:rsidR="00F019AC" w:rsidRPr="00EC2659">
        <w:t>it means that:</w:t>
      </w:r>
    </w:p>
    <w:p w14:paraId="005D066A" w14:textId="77777777" w:rsidR="00437314" w:rsidRDefault="00437314" w:rsidP="00437314">
      <w:pPr>
        <w:pStyle w:val="NormalWeb"/>
        <w:numPr>
          <w:ilvl w:val="0"/>
          <w:numId w:val="4"/>
        </w:numPr>
      </w:pPr>
      <w:r>
        <w:t xml:space="preserve">Each party must </w:t>
      </w:r>
      <w:r w:rsidRPr="00F019AC">
        <w:t>meet at reasonable times and places</w:t>
      </w:r>
      <w:r>
        <w:t xml:space="preserve"> to negotiate.</w:t>
      </w:r>
    </w:p>
    <w:p w14:paraId="0BCBCDA7" w14:textId="77777777" w:rsidR="00437314" w:rsidRDefault="00437314" w:rsidP="00437314">
      <w:pPr>
        <w:pStyle w:val="NormalWeb"/>
        <w:numPr>
          <w:ilvl w:val="0"/>
          <w:numId w:val="4"/>
        </w:numPr>
      </w:pPr>
      <w:r>
        <w:t xml:space="preserve">Both sides must </w:t>
      </w:r>
      <w:r w:rsidRPr="00F019AC">
        <w:t>listen, discuss, and consider each other’s proposals</w:t>
      </w:r>
      <w:r>
        <w:t xml:space="preserve"> honestly, instead of dismissing them outright.</w:t>
      </w:r>
    </w:p>
    <w:p w14:paraId="249D3B8A" w14:textId="77777777" w:rsidR="00437314" w:rsidRDefault="00437314" w:rsidP="00437314">
      <w:pPr>
        <w:pStyle w:val="NormalWeb"/>
        <w:numPr>
          <w:ilvl w:val="0"/>
          <w:numId w:val="4"/>
        </w:numPr>
      </w:pPr>
      <w:r>
        <w:t xml:space="preserve">They must </w:t>
      </w:r>
      <w:r w:rsidRPr="00F019AC">
        <w:t>share relevant information</w:t>
      </w:r>
      <w:r>
        <w:t xml:space="preserve"> needed to make informed decisions.</w:t>
      </w:r>
    </w:p>
    <w:p w14:paraId="3F01E402" w14:textId="77777777" w:rsidR="00437314" w:rsidRDefault="00437314" w:rsidP="00437314">
      <w:pPr>
        <w:pStyle w:val="NormalWeb"/>
        <w:numPr>
          <w:ilvl w:val="0"/>
          <w:numId w:val="4"/>
        </w:numPr>
      </w:pPr>
      <w:r>
        <w:t>They cannot engage in delaying tactics, surface bargaining (going through the motions with no intent to agree), or refusing to compromise at all.</w:t>
      </w:r>
    </w:p>
    <w:p w14:paraId="4694E4E0" w14:textId="77777777" w:rsidR="00437314" w:rsidRDefault="00437314" w:rsidP="00437314">
      <w:pPr>
        <w:pStyle w:val="NormalWeb"/>
        <w:numPr>
          <w:ilvl w:val="0"/>
          <w:numId w:val="4"/>
        </w:numPr>
      </w:pPr>
      <w:r>
        <w:t>The goal should be to make progress toward a contract that reflects the interests of both the employer and the employees.</w:t>
      </w:r>
    </w:p>
    <w:p w14:paraId="591D33D3" w14:textId="77777777" w:rsidR="00437314" w:rsidRDefault="00437314" w:rsidP="00437314">
      <w:pPr>
        <w:pStyle w:val="NormalWeb"/>
      </w:pPr>
      <w:r>
        <w:t>In the RA case, bargaining in good faith would mean that the university acknowledges RAs’ legitimate concerns (like pay, workload, and disciplinary policies) and works with their chosen representatives to find solutions, while the union also listens to the university’s constraints and needs</w:t>
      </w:r>
    </w:p>
    <w:p w14:paraId="14739E16" w14:textId="77777777" w:rsidR="00437314" w:rsidRDefault="00437314">
      <w:pPr>
        <w:rPr>
          <w:rFonts w:ascii="Arial" w:hAnsi="Arial" w:cs="Arial"/>
          <w:shd w:val="clear" w:color="auto" w:fill="FFFFFF"/>
        </w:rPr>
      </w:pPr>
    </w:p>
    <w:p w14:paraId="6CBC2178" w14:textId="2DE06446" w:rsidR="002102FD" w:rsidRPr="00EC2659" w:rsidRDefault="002102FD">
      <w:pPr>
        <w:rPr>
          <w:b/>
          <w:bCs/>
        </w:rPr>
      </w:pPr>
      <w:r>
        <w:rPr>
          <w:rFonts w:ascii="Arial" w:hAnsi="Arial" w:cs="Arial"/>
          <w:shd w:val="clear" w:color="auto" w:fill="FFFFFF"/>
        </w:rPr>
        <w:br/>
      </w:r>
      <w:r w:rsidRPr="00EC2659">
        <w:rPr>
          <w:b/>
          <w:bCs/>
        </w:rPr>
        <w:t>P 24 Case Questions 1, 4 &amp; 6</w:t>
      </w:r>
    </w:p>
    <w:p w14:paraId="094173BC" w14:textId="670CABA1" w:rsidR="00F37EEB" w:rsidRPr="00EC2659" w:rsidRDefault="00F37EEB" w:rsidP="00F37EEB">
      <w:pPr>
        <w:rPr>
          <w:b/>
          <w:bCs/>
        </w:rPr>
      </w:pPr>
      <w:r w:rsidRPr="00EC2659">
        <w:rPr>
          <w:b/>
          <w:bCs/>
        </w:rPr>
        <w:t>1.</w:t>
      </w:r>
      <w:r w:rsidRPr="00EC2659">
        <w:rPr>
          <w:b/>
          <w:bCs/>
        </w:rPr>
        <w:t>What do you think were the key factors in getting both sides to agree to begin contract</w:t>
      </w:r>
      <w:r w:rsidRPr="00EC2659">
        <w:rPr>
          <w:b/>
          <w:bCs/>
        </w:rPr>
        <w:br/>
        <w:t>negotiations?</w:t>
      </w:r>
    </w:p>
    <w:p w14:paraId="3CDD5D04" w14:textId="77777777" w:rsidR="00F37EEB" w:rsidRDefault="00F37EEB" w:rsidP="00F37EEB">
      <w:pPr>
        <w:pStyle w:val="NormalWeb"/>
      </w:pPr>
      <w:r>
        <w:t>The university and the UAW reached an agreement to start negotiations in July 2002 after a prolonged dispute. Several factors led to this breakthrough:</w:t>
      </w:r>
    </w:p>
    <w:p w14:paraId="13464091" w14:textId="77777777" w:rsidR="00F37EEB" w:rsidRDefault="00F37EEB" w:rsidP="00F37EEB">
      <w:pPr>
        <w:pStyle w:val="NormalWeb"/>
        <w:numPr>
          <w:ilvl w:val="0"/>
          <w:numId w:val="6"/>
        </w:numPr>
      </w:pPr>
      <w:r>
        <w:t>Recognition that budgetary and campus challenges required cooperation.</w:t>
      </w:r>
    </w:p>
    <w:p w14:paraId="0927B38D" w14:textId="77777777" w:rsidR="00F37EEB" w:rsidRDefault="00F37EEB" w:rsidP="00F37EEB">
      <w:pPr>
        <w:pStyle w:val="NormalWeb"/>
        <w:numPr>
          <w:ilvl w:val="0"/>
          <w:numId w:val="6"/>
        </w:numPr>
      </w:pPr>
      <w:r>
        <w:t xml:space="preserve">Agreement to clearly separate </w:t>
      </w:r>
      <w:r>
        <w:rPr>
          <w:rStyle w:val="Emphasis"/>
          <w:rFonts w:eastAsiaTheme="majorEastAsia"/>
        </w:rPr>
        <w:t>academic issues</w:t>
      </w:r>
      <w:r>
        <w:t xml:space="preserve"> (such as grading policies and student conduct) from </w:t>
      </w:r>
      <w:r>
        <w:rPr>
          <w:rStyle w:val="Emphasis"/>
          <w:rFonts w:eastAsiaTheme="majorEastAsia"/>
        </w:rPr>
        <w:t>employment issues</w:t>
      </w:r>
      <w:r>
        <w:t>.</w:t>
      </w:r>
    </w:p>
    <w:p w14:paraId="531FD687" w14:textId="77777777" w:rsidR="00F37EEB" w:rsidRDefault="00F37EEB" w:rsidP="00F37EEB">
      <w:pPr>
        <w:pStyle w:val="NormalWeb"/>
        <w:numPr>
          <w:ilvl w:val="0"/>
          <w:numId w:val="6"/>
        </w:numPr>
      </w:pPr>
      <w:r>
        <w:t>Mutual interest in establishing a more productive bargaining relationship.</w:t>
      </w:r>
      <w:r>
        <w:br/>
        <w:t>This pragmatic separation reassured the administration while allowing the union to advance RA concerns, paving the way for negotiations to start .</w:t>
      </w:r>
    </w:p>
    <w:p w14:paraId="6F59153A" w14:textId="0636D40C" w:rsidR="00F37EEB" w:rsidRPr="00EC2659" w:rsidRDefault="00F37EEB">
      <w:pPr>
        <w:rPr>
          <w:b/>
          <w:bCs/>
        </w:rPr>
      </w:pPr>
      <w:r w:rsidRPr="00EC2659">
        <w:rPr>
          <w:b/>
          <w:bCs/>
        </w:rPr>
        <w:t>4. Why do you think it took 14 months to reach a tentative agreement?</w:t>
      </w:r>
    </w:p>
    <w:p w14:paraId="4F989D5F" w14:textId="3FB36485" w:rsidR="00F37EEB" w:rsidRDefault="00F37EEB">
      <w:r>
        <w:t>The lengthy negotiations (November 2002 to early 2004) reflected significant differences in proposals: the union submitted a 21-page proposal while the university presented only five pages. This imbalance highlights differing priorities and bargaining positions. The complexity of negotiating a first contract, the need for multiple revisions, and the requirement of member ratification also contributed to the extended timeline</w:t>
      </w:r>
    </w:p>
    <w:p w14:paraId="05E2EB05" w14:textId="77777777" w:rsidR="00F37EEB" w:rsidRDefault="00F37EEB"/>
    <w:p w14:paraId="68C4E3C7" w14:textId="77777777" w:rsidR="00F37EEB" w:rsidRDefault="00F37EEB"/>
    <w:p w14:paraId="50189E08" w14:textId="5E7111D3" w:rsidR="00F37EEB" w:rsidRPr="00EC2659" w:rsidRDefault="00F37EEB">
      <w:pPr>
        <w:rPr>
          <w:b/>
          <w:bCs/>
        </w:rPr>
      </w:pPr>
      <w:r w:rsidRPr="00EC2659">
        <w:rPr>
          <w:b/>
          <w:bCs/>
        </w:rPr>
        <w:t>6. List the five items, issues or benefits you anticipate will be included in the contract</w:t>
      </w:r>
      <w:r w:rsidRPr="00EC2659">
        <w:rPr>
          <w:b/>
          <w:bCs/>
        </w:rPr>
        <w:br/>
        <w:t>that would be most important to the union. Next, list the five items or issues most</w:t>
      </w:r>
      <w:r w:rsidRPr="00EC2659">
        <w:rPr>
          <w:b/>
          <w:bCs/>
        </w:rPr>
        <w:br/>
        <w:t>important to the university.</w:t>
      </w:r>
    </w:p>
    <w:tbl>
      <w:tblPr>
        <w:tblStyle w:val="TableGrid"/>
        <w:tblW w:w="0" w:type="auto"/>
        <w:tblLook w:val="04A0" w:firstRow="1" w:lastRow="0" w:firstColumn="1" w:lastColumn="0" w:noHBand="0" w:noVBand="1"/>
      </w:tblPr>
      <w:tblGrid>
        <w:gridCol w:w="4675"/>
        <w:gridCol w:w="4675"/>
      </w:tblGrid>
      <w:tr w:rsidR="00F37EEB" w14:paraId="54497825" w14:textId="77777777" w:rsidTr="00F37EEB">
        <w:tc>
          <w:tcPr>
            <w:tcW w:w="4675" w:type="dxa"/>
          </w:tcPr>
          <w:p w14:paraId="41E14E0A" w14:textId="2AF5B631" w:rsidR="00F37EEB" w:rsidRDefault="00EC2659">
            <w:r>
              <w:rPr>
                <w:rStyle w:val="Strong"/>
              </w:rPr>
              <w:t>Union priorities</w:t>
            </w:r>
          </w:p>
        </w:tc>
        <w:tc>
          <w:tcPr>
            <w:tcW w:w="4675" w:type="dxa"/>
          </w:tcPr>
          <w:p w14:paraId="7B7BB7DC" w14:textId="41B29926" w:rsidR="00F37EEB" w:rsidRDefault="00EC2659">
            <w:r>
              <w:rPr>
                <w:rStyle w:val="Strong"/>
              </w:rPr>
              <w:t>University priorities</w:t>
            </w:r>
          </w:p>
        </w:tc>
      </w:tr>
      <w:tr w:rsidR="00F37EEB" w14:paraId="1DE678D0" w14:textId="77777777" w:rsidTr="00F37EEB">
        <w:tc>
          <w:tcPr>
            <w:tcW w:w="4675" w:type="dxa"/>
          </w:tcPr>
          <w:p w14:paraId="2192FBA2" w14:textId="7A80AE22" w:rsidR="00F37EEB" w:rsidRDefault="00F37EEB">
            <w:r>
              <w:t>likely included: wage increases, improved housing benefits, parking privileges, fair grievance procedures, and recognition of RA rights as workers.</w:t>
            </w:r>
          </w:p>
        </w:tc>
        <w:tc>
          <w:tcPr>
            <w:tcW w:w="4675" w:type="dxa"/>
          </w:tcPr>
          <w:p w14:paraId="1ECC47AD" w14:textId="0B909B12" w:rsidR="00F37EEB" w:rsidRDefault="00EC2659">
            <w:r>
              <w:t>were to limit negotiation scope strictly to employment conditions, maintain authority over academic and disciplinary policies, manage financial costs, and preserve institutional flexibility.</w:t>
            </w:r>
            <w:r>
              <w:br/>
              <w:t>These contrasting agendas shaped the bargaining process and explain both the tension and eventual compromise</w:t>
            </w:r>
          </w:p>
        </w:tc>
      </w:tr>
    </w:tbl>
    <w:p w14:paraId="1ECF0D01" w14:textId="77777777" w:rsidR="00F37EEB" w:rsidRDefault="00F37EEB"/>
    <w:p w14:paraId="78FFC44B" w14:textId="77777777" w:rsidR="00F37EEB" w:rsidRDefault="00F37EEB"/>
    <w:p w14:paraId="1CF7D518" w14:textId="77777777" w:rsidR="00F37EEB" w:rsidRPr="00F37EEB" w:rsidRDefault="00F37EEB"/>
    <w:sectPr w:rsidR="00F37EEB" w:rsidRPr="00F37E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432F6"/>
    <w:multiLevelType w:val="multilevel"/>
    <w:tmpl w:val="8AB8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37F88"/>
    <w:multiLevelType w:val="multilevel"/>
    <w:tmpl w:val="F37A3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heme="minorHAnsi" w:hAnsiTheme="minorHAnsi" w:cstheme="minorBidi" w:hint="default"/>
        <w:sz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600D94"/>
    <w:multiLevelType w:val="multilevel"/>
    <w:tmpl w:val="19B2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6F1B39"/>
    <w:multiLevelType w:val="multilevel"/>
    <w:tmpl w:val="3DBA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CF7EDA"/>
    <w:multiLevelType w:val="multilevel"/>
    <w:tmpl w:val="9C00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960A25"/>
    <w:multiLevelType w:val="multilevel"/>
    <w:tmpl w:val="DE3C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6803013">
    <w:abstractNumId w:val="3"/>
  </w:num>
  <w:num w:numId="2" w16cid:durableId="444694082">
    <w:abstractNumId w:val="1"/>
  </w:num>
  <w:num w:numId="3" w16cid:durableId="1279413858">
    <w:abstractNumId w:val="5"/>
  </w:num>
  <w:num w:numId="4" w16cid:durableId="1575165009">
    <w:abstractNumId w:val="4"/>
  </w:num>
  <w:num w:numId="5" w16cid:durableId="901987765">
    <w:abstractNumId w:val="2"/>
  </w:num>
  <w:num w:numId="6" w16cid:durableId="15733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2FD"/>
    <w:rsid w:val="002102FD"/>
    <w:rsid w:val="00236FF7"/>
    <w:rsid w:val="00270716"/>
    <w:rsid w:val="00290E59"/>
    <w:rsid w:val="002F08B7"/>
    <w:rsid w:val="00355CA8"/>
    <w:rsid w:val="003E55E4"/>
    <w:rsid w:val="003F51FE"/>
    <w:rsid w:val="00437314"/>
    <w:rsid w:val="004B76F7"/>
    <w:rsid w:val="00580E89"/>
    <w:rsid w:val="00585B02"/>
    <w:rsid w:val="006528A3"/>
    <w:rsid w:val="009D6DA1"/>
    <w:rsid w:val="00C64D87"/>
    <w:rsid w:val="00CC6449"/>
    <w:rsid w:val="00D23787"/>
    <w:rsid w:val="00EC2659"/>
    <w:rsid w:val="00F019AC"/>
    <w:rsid w:val="00F37EEB"/>
  </w:rsids>
  <m:mathPr>
    <m:mathFont m:val="Cambria Math"/>
    <m:brkBin m:val="before"/>
    <m:brkBinSub m:val="--"/>
    <m:smallFrac m:val="0"/>
    <m:dispDef/>
    <m:lMargin m:val="0"/>
    <m:rMargin m:val="0"/>
    <m:defJc m:val="centerGroup"/>
    <m:wrapIndent m:val="1440"/>
    <m:intLim m:val="subSup"/>
    <m:naryLim m:val="undOvr"/>
  </m:mathPr>
  <w:themeFontLang w:val="en-PS" w:bidi="ar-SA"/>
  <w:clrSchemeMapping w:bg1="light1" w:t1="dark1" w:bg2="light2" w:t2="dark2" w:accent1="accent1" w:accent2="accent2" w:accent3="accent3" w:accent4="accent4" w:accent5="accent5" w:accent6="accent6" w:hyperlink="hyperlink" w:followedHyperlink="followedHyperlink"/>
  <w:decimalSymbol w:val="."/>
  <w:listSeparator w:val=","/>
  <w14:docId w14:val="7F167173"/>
  <w15:chartTrackingRefBased/>
  <w15:docId w15:val="{816C95C9-AE66-A14D-B65A-02C7A381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2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2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2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2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2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2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2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2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2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2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2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2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2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2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2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2FD"/>
    <w:rPr>
      <w:rFonts w:eastAsiaTheme="majorEastAsia" w:cstheme="majorBidi"/>
      <w:color w:val="272727" w:themeColor="text1" w:themeTint="D8"/>
    </w:rPr>
  </w:style>
  <w:style w:type="paragraph" w:styleId="Title">
    <w:name w:val="Title"/>
    <w:basedOn w:val="Normal"/>
    <w:next w:val="Normal"/>
    <w:link w:val="TitleChar"/>
    <w:uiPriority w:val="10"/>
    <w:qFormat/>
    <w:rsid w:val="00210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2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2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2FD"/>
    <w:pPr>
      <w:spacing w:before="160"/>
      <w:jc w:val="center"/>
    </w:pPr>
    <w:rPr>
      <w:i/>
      <w:iCs/>
      <w:color w:val="404040" w:themeColor="text1" w:themeTint="BF"/>
    </w:rPr>
  </w:style>
  <w:style w:type="character" w:customStyle="1" w:styleId="QuoteChar">
    <w:name w:val="Quote Char"/>
    <w:basedOn w:val="DefaultParagraphFont"/>
    <w:link w:val="Quote"/>
    <w:uiPriority w:val="29"/>
    <w:rsid w:val="002102FD"/>
    <w:rPr>
      <w:i/>
      <w:iCs/>
      <w:color w:val="404040" w:themeColor="text1" w:themeTint="BF"/>
    </w:rPr>
  </w:style>
  <w:style w:type="paragraph" w:styleId="ListParagraph">
    <w:name w:val="List Paragraph"/>
    <w:basedOn w:val="Normal"/>
    <w:uiPriority w:val="34"/>
    <w:qFormat/>
    <w:rsid w:val="002102FD"/>
    <w:pPr>
      <w:ind w:left="720"/>
      <w:contextualSpacing/>
    </w:pPr>
  </w:style>
  <w:style w:type="character" w:styleId="IntenseEmphasis">
    <w:name w:val="Intense Emphasis"/>
    <w:basedOn w:val="DefaultParagraphFont"/>
    <w:uiPriority w:val="21"/>
    <w:qFormat/>
    <w:rsid w:val="002102FD"/>
    <w:rPr>
      <w:i/>
      <w:iCs/>
      <w:color w:val="0F4761" w:themeColor="accent1" w:themeShade="BF"/>
    </w:rPr>
  </w:style>
  <w:style w:type="paragraph" w:styleId="IntenseQuote">
    <w:name w:val="Intense Quote"/>
    <w:basedOn w:val="Normal"/>
    <w:next w:val="Normal"/>
    <w:link w:val="IntenseQuoteChar"/>
    <w:uiPriority w:val="30"/>
    <w:qFormat/>
    <w:rsid w:val="00210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2FD"/>
    <w:rPr>
      <w:i/>
      <w:iCs/>
      <w:color w:val="0F4761" w:themeColor="accent1" w:themeShade="BF"/>
    </w:rPr>
  </w:style>
  <w:style w:type="character" w:styleId="IntenseReference">
    <w:name w:val="Intense Reference"/>
    <w:basedOn w:val="DefaultParagraphFont"/>
    <w:uiPriority w:val="32"/>
    <w:qFormat/>
    <w:rsid w:val="002102FD"/>
    <w:rPr>
      <w:b/>
      <w:bCs/>
      <w:smallCaps/>
      <w:color w:val="0F4761" w:themeColor="accent1" w:themeShade="BF"/>
      <w:spacing w:val="5"/>
    </w:rPr>
  </w:style>
  <w:style w:type="character" w:customStyle="1" w:styleId="markedcontent">
    <w:name w:val="markedcontent"/>
    <w:basedOn w:val="DefaultParagraphFont"/>
    <w:rsid w:val="002102FD"/>
  </w:style>
  <w:style w:type="paragraph" w:styleId="NormalWeb">
    <w:name w:val="Normal (Web)"/>
    <w:basedOn w:val="Normal"/>
    <w:uiPriority w:val="99"/>
    <w:unhideWhenUsed/>
    <w:rsid w:val="00290E5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80E89"/>
    <w:rPr>
      <w:b/>
      <w:bCs/>
    </w:rPr>
  </w:style>
  <w:style w:type="table" w:styleId="TableGrid">
    <w:name w:val="Table Grid"/>
    <w:basedOn w:val="TableNormal"/>
    <w:uiPriority w:val="39"/>
    <w:rsid w:val="00270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E55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5</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Dasa, Asma</dc:creator>
  <cp:keywords/>
  <dc:description/>
  <cp:lastModifiedBy>Dasa, Asma</cp:lastModifiedBy>
  <cp:revision>1</cp:revision>
  <dcterms:created xsi:type="dcterms:W3CDTF">2025-09-06T03:00:00Z</dcterms:created>
  <dcterms:modified xsi:type="dcterms:W3CDTF">2025-09-07T03:51:00Z</dcterms:modified>
</cp:coreProperties>
</file>