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F83B6" w14:textId="77777777" w:rsidR="007121E2" w:rsidRPr="007121E2" w:rsidRDefault="007121E2" w:rsidP="00DC4E0E">
      <w:pPr>
        <w:spacing w:after="0" w:line="240" w:lineRule="auto"/>
        <w:jc w:val="center"/>
        <w:rPr>
          <w:rFonts w:asciiTheme="majorBidi" w:eastAsia="Times New Roman" w:hAnsiTheme="majorBidi" w:cstheme="majorBidi"/>
          <w:b/>
          <w:bCs/>
          <w:kern w:val="0"/>
          <w14:ligatures w14:val="none"/>
        </w:rPr>
      </w:pPr>
      <w:r w:rsidRPr="007121E2">
        <w:rPr>
          <w:rFonts w:asciiTheme="majorBidi" w:eastAsia="Times New Roman" w:hAnsiTheme="majorBidi" w:cstheme="majorBidi"/>
          <w:b/>
          <w:bCs/>
          <w:kern w:val="0"/>
          <w:sz w:val="30"/>
          <w:szCs w:val="30"/>
          <w:shd w:val="clear" w:color="auto" w:fill="FFFFFF"/>
          <w14:ligatures w14:val="none"/>
        </w:rPr>
        <w:t>Safety in Foodservice Operations</w:t>
      </w:r>
    </w:p>
    <w:p w14:paraId="2DD322BF" w14:textId="77777777" w:rsidR="007121E2" w:rsidRPr="00FE569C" w:rsidRDefault="007121E2">
      <w:pPr>
        <w:rPr>
          <w:rStyle w:val="markedcontent"/>
          <w:rFonts w:asciiTheme="majorBidi" w:hAnsiTheme="majorBidi" w:cstheme="majorBidi"/>
          <w:shd w:val="clear" w:color="auto" w:fill="FFFFFF"/>
        </w:rPr>
      </w:pPr>
    </w:p>
    <w:p w14:paraId="63D4B1D1" w14:textId="77777777" w:rsidR="00FE569C" w:rsidRPr="00FE569C" w:rsidRDefault="00FE569C" w:rsidP="00FE569C">
      <w:pPr>
        <w:spacing w:before="100" w:beforeAutospacing="1" w:after="100" w:afterAutospacing="1" w:line="240" w:lineRule="auto"/>
        <w:outlineLvl w:val="2"/>
        <w:rPr>
          <w:rFonts w:ascii="Times New Roman" w:eastAsia="Times New Roman" w:hAnsi="Times New Roman" w:cs="Times New Roman"/>
          <w:kern w:val="0"/>
          <w:sz w:val="27"/>
          <w:szCs w:val="27"/>
          <w14:ligatures w14:val="none"/>
        </w:rPr>
      </w:pPr>
      <w:r w:rsidRPr="00FE569C">
        <w:rPr>
          <w:rFonts w:ascii="Times New Roman" w:eastAsia="Times New Roman" w:hAnsi="Times New Roman" w:cs="Times New Roman"/>
          <w:kern w:val="0"/>
          <w:sz w:val="27"/>
          <w:szCs w:val="27"/>
          <w14:ligatures w14:val="none"/>
        </w:rPr>
        <w:t>1. What are internal and external controls?</w:t>
      </w:r>
    </w:p>
    <w:p w14:paraId="71B682F4" w14:textId="77777777" w:rsidR="00FE569C" w:rsidRPr="00FE569C" w:rsidRDefault="00FE569C" w:rsidP="00FE569C">
      <w:p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Internal controls are the systems and procedures implemented within the food service department to ensure that operations run safely, efficiently, and in compliance with company policies. Examples include temperature logs, hand-washing protocols, inventory tracking, cash handling procedures, and employee health checks.</w:t>
      </w:r>
      <w:r w:rsidRPr="00FE569C">
        <w:rPr>
          <w:rFonts w:ascii="Times New Roman" w:eastAsia="Times New Roman" w:hAnsi="Times New Roman" w:cs="Times New Roman"/>
          <w:kern w:val="0"/>
          <w14:ligatures w14:val="none"/>
        </w:rPr>
        <w:br/>
        <w:t>External controls involve oversight and regulations from outside entities such as local health departments, state labor boards, OSHA, and the Department of Agriculture. These agencies inspect, audit, and verify that Aramark facilities maintain proper sanitation, food safety, and workplace safety standards.</w:t>
      </w:r>
    </w:p>
    <w:p w14:paraId="58E653E5" w14:textId="186897D7" w:rsidR="00FE569C" w:rsidRPr="00FE569C" w:rsidRDefault="00FE569C" w:rsidP="00FE569C">
      <w:pPr>
        <w:spacing w:after="0"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sz w:val="27"/>
          <w:szCs w:val="27"/>
          <w14:ligatures w14:val="none"/>
        </w:rPr>
        <w:t>2. What type of “disasters” can happen to the food service department?</w:t>
      </w:r>
    </w:p>
    <w:p w14:paraId="172D5302" w14:textId="77777777" w:rsidR="00FE569C" w:rsidRPr="00FE569C" w:rsidRDefault="00FE569C" w:rsidP="00FE569C">
      <w:p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Possible disasters include:</w:t>
      </w:r>
    </w:p>
    <w:p w14:paraId="40D643E6" w14:textId="77777777" w:rsidR="00FE569C" w:rsidRPr="00FE569C" w:rsidRDefault="00FE569C" w:rsidP="00FE569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Power failures that cause refrigeration and cooking equipment to stop functioning.</w:t>
      </w:r>
    </w:p>
    <w:p w14:paraId="76F7B607" w14:textId="77777777" w:rsidR="00FE569C" w:rsidRPr="00FE569C" w:rsidRDefault="00FE569C" w:rsidP="00FE569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Flooding or water shutoffs that impact cleaning, sanitation, or cooking processes.</w:t>
      </w:r>
    </w:p>
    <w:p w14:paraId="180F24D4" w14:textId="77777777" w:rsidR="00FE569C" w:rsidRPr="00FE569C" w:rsidRDefault="00FE569C" w:rsidP="00FE569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Snowstorms or severe weather that disrupt deliveries or prevent staff from reporting to work.</w:t>
      </w:r>
    </w:p>
    <w:p w14:paraId="18049D47" w14:textId="77777777" w:rsidR="00FE569C" w:rsidRPr="00FE569C" w:rsidRDefault="00FE569C" w:rsidP="00FE569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Fire or smoke incidents in the kitchen.</w:t>
      </w:r>
    </w:p>
    <w:p w14:paraId="0412727B" w14:textId="77777777" w:rsidR="00FE569C" w:rsidRPr="00FE569C" w:rsidRDefault="00FE569C" w:rsidP="00FE569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Chemical spills or contamination of food or surfaces.</w:t>
      </w:r>
    </w:p>
    <w:p w14:paraId="52BE8950" w14:textId="77777777" w:rsidR="00FE569C" w:rsidRPr="00FE569C" w:rsidRDefault="00FE569C" w:rsidP="00FE569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Public health emergencies, such as outbreaks of contagious illnesses.</w:t>
      </w:r>
    </w:p>
    <w:p w14:paraId="72A6977A" w14:textId="77777777" w:rsidR="00FE569C" w:rsidRPr="00FE569C" w:rsidRDefault="00FE569C" w:rsidP="00FE569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Security incidents involving intruders or workplace violence.</w:t>
      </w:r>
    </w:p>
    <w:p w14:paraId="45DD18C5" w14:textId="2FB97642" w:rsidR="00FE569C" w:rsidRPr="00FE569C" w:rsidRDefault="00FE569C" w:rsidP="00FE569C">
      <w:pPr>
        <w:spacing w:after="0"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sz w:val="27"/>
          <w:szCs w:val="27"/>
          <w14:ligatures w14:val="none"/>
        </w:rPr>
        <w:t>3. What are the plans for power failure, floods, snow, water shutoff, etc.?</w:t>
      </w:r>
    </w:p>
    <w:p w14:paraId="4E0C2318" w14:textId="77777777" w:rsidR="00FE569C" w:rsidRPr="00FE569C" w:rsidRDefault="00FE569C" w:rsidP="00FE569C">
      <w:p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Aramark follows an Emergency Preparedness and Business Continuity Plan:</w:t>
      </w:r>
    </w:p>
    <w:p w14:paraId="42AB2E47" w14:textId="77777777" w:rsidR="00FE569C" w:rsidRPr="00FE569C" w:rsidRDefault="00FE569C" w:rsidP="00FE569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Power failure: Use backup generators where available; food in coolers and freezers is monitored for temperature control; operations shift to cold or shelf-stable menu items.</w:t>
      </w:r>
    </w:p>
    <w:p w14:paraId="3C1B3C79" w14:textId="77777777" w:rsidR="00FE569C" w:rsidRPr="00FE569C" w:rsidRDefault="00FE569C" w:rsidP="00FE569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Floods or water shutoff: Suspend use of equipment that relies on water; use bottled or transported potable water for handwashing and food prep; contact maintenance and local authorities immediately.</w:t>
      </w:r>
    </w:p>
    <w:p w14:paraId="7BEBD042" w14:textId="77777777" w:rsidR="00FE569C" w:rsidRPr="00FE569C" w:rsidRDefault="00FE569C" w:rsidP="00FE569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Snow or severe weather: Implement inclement weather staffing plans; ensure that essential personnel are identified; communicate closures through management channels.</w:t>
      </w:r>
    </w:p>
    <w:p w14:paraId="20A1802B" w14:textId="77777777" w:rsidR="00FE569C" w:rsidRPr="00FE569C" w:rsidRDefault="00FE569C" w:rsidP="00FE569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Fire or evacuation: Follow posted evacuation routes, shut down equipment safely, and meet at the designated assembly point.</w:t>
      </w:r>
      <w:r w:rsidRPr="00FE569C">
        <w:rPr>
          <w:rFonts w:ascii="Times New Roman" w:eastAsia="Times New Roman" w:hAnsi="Times New Roman" w:cs="Times New Roman"/>
          <w:kern w:val="0"/>
          <w14:ligatures w14:val="none"/>
        </w:rPr>
        <w:br/>
        <w:t>All employees receive annual training on emergency procedures.</w:t>
      </w:r>
    </w:p>
    <w:p w14:paraId="27B5C95F" w14:textId="41667087" w:rsidR="00FE569C" w:rsidRPr="00FE569C" w:rsidRDefault="00FE569C" w:rsidP="00FE569C">
      <w:pPr>
        <w:spacing w:after="0"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sz w:val="27"/>
          <w:szCs w:val="27"/>
          <w14:ligatures w14:val="none"/>
        </w:rPr>
        <w:t>4. What are safe working conditions?</w:t>
      </w:r>
    </w:p>
    <w:p w14:paraId="03FAFAD6" w14:textId="77777777" w:rsidR="00FE569C" w:rsidRPr="00FE569C" w:rsidRDefault="00FE569C" w:rsidP="00FE569C">
      <w:p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lastRenderedPageBreak/>
        <w:t>Safe working conditions are environments where hazards are minimized and employees have the equipment, training, and supervision needed to perform duties safely. This includes:</w:t>
      </w:r>
    </w:p>
    <w:p w14:paraId="4E75957E" w14:textId="77777777" w:rsidR="00FE569C" w:rsidRPr="00FE569C" w:rsidRDefault="00FE569C" w:rsidP="00FE569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Clean, dry, and well-lit work areas.</w:t>
      </w:r>
    </w:p>
    <w:p w14:paraId="0FF4F3FE" w14:textId="77777777" w:rsidR="00FE569C" w:rsidRPr="00FE569C" w:rsidRDefault="00FE569C" w:rsidP="00FE569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Properly maintained equipment with safety guards.</w:t>
      </w:r>
    </w:p>
    <w:p w14:paraId="43411C5C" w14:textId="77777777" w:rsidR="00FE569C" w:rsidRPr="00FE569C" w:rsidRDefault="00FE569C" w:rsidP="00FE569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Readily available personal protective equipment (PPE) such as gloves, aprons, and slip-resistant shoes.</w:t>
      </w:r>
    </w:p>
    <w:p w14:paraId="33E9BB08" w14:textId="77777777" w:rsidR="00FE569C" w:rsidRPr="00FE569C" w:rsidRDefault="00FE569C" w:rsidP="00FE569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Accessible fire extinguishers, first-aid kits, and eye-wash stations.</w:t>
      </w:r>
    </w:p>
    <w:p w14:paraId="28B8F1EE" w14:textId="77777777" w:rsidR="00FE569C" w:rsidRDefault="00FE569C" w:rsidP="00FE569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Clear signage for exits, wet floors, and chemical storage.</w:t>
      </w:r>
    </w:p>
    <w:p w14:paraId="3BC20500" w14:textId="3786D6E2" w:rsidR="00FE569C" w:rsidRPr="00FE569C" w:rsidRDefault="00FE569C" w:rsidP="00FE569C">
      <w:pPr>
        <w:spacing w:before="100" w:beforeAutospacing="1" w:after="100" w:afterAutospacing="1"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t xml:space="preserve">During this rotaion I had the chance to participate in tow </w:t>
      </w:r>
      <w:r w:rsidRPr="00FE569C">
        <w:rPr>
          <w:rFonts w:ascii="Times New Roman" w:eastAsia="Times New Roman" w:hAnsi="Times New Roman" w:cs="Times New Roman"/>
          <w:b/>
          <w:bCs/>
          <w:kern w:val="0"/>
          <w14:ligatures w14:val="none"/>
        </w:rPr>
        <w:t xml:space="preserve">lock down drill , Hold drills, Monthly fire drill too </w:t>
      </w:r>
    </w:p>
    <w:p w14:paraId="0167092A" w14:textId="6AD591ED" w:rsidR="00FE569C" w:rsidRPr="00FE569C" w:rsidRDefault="00FE569C" w:rsidP="00FE569C">
      <w:pPr>
        <w:spacing w:after="0"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sz w:val="27"/>
          <w:szCs w:val="27"/>
          <w14:ligatures w14:val="none"/>
        </w:rPr>
        <w:t>5. What are safety concerns of the employees?</w:t>
      </w:r>
    </w:p>
    <w:p w14:paraId="68D753C4" w14:textId="77777777" w:rsidR="00FE569C" w:rsidRPr="00FE569C" w:rsidRDefault="00FE569C" w:rsidP="00FE569C">
      <w:p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Employees face several potential hazards, including:</w:t>
      </w:r>
    </w:p>
    <w:p w14:paraId="27B5794C" w14:textId="77777777" w:rsidR="00FE569C" w:rsidRPr="00FE569C" w:rsidRDefault="00FE569C" w:rsidP="00FE569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Accident prevention: Avoiding slips, trips, and falls through proper footwear and clean floors.</w:t>
      </w:r>
    </w:p>
    <w:p w14:paraId="77FB178C" w14:textId="77777777" w:rsidR="00FE569C" w:rsidRPr="00FE569C" w:rsidRDefault="00FE569C" w:rsidP="00FE569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Chemical safety: Proper labeling, storage, and use of cleaning agents; using gloves and following SDS (Safety Data Sheet) guidelines.</w:t>
      </w:r>
    </w:p>
    <w:p w14:paraId="76C345E0" w14:textId="77777777" w:rsidR="00FE569C" w:rsidRPr="00FE569C" w:rsidRDefault="00FE569C" w:rsidP="00FE569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Burns and cuts: Safe knife handling and use of oven mitts, tongs, and guards.</w:t>
      </w:r>
    </w:p>
    <w:p w14:paraId="3C5C917F" w14:textId="77777777" w:rsidR="00FE569C" w:rsidRPr="00FE569C" w:rsidRDefault="00FE569C" w:rsidP="00FE569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Electrical hazards: Keeping cords dry, inspecting equipment for damage, and reporting faulty outlets.</w:t>
      </w:r>
    </w:p>
    <w:p w14:paraId="46467700" w14:textId="77777777" w:rsidR="00FE569C" w:rsidRPr="00FE569C" w:rsidRDefault="00FE569C" w:rsidP="00FE569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Infection prevention: Practicing hand hygiene, using gloves, and following food safety protocols to prevent exposure to contagious diseases (e.g., hepatitis, HIV).</w:t>
      </w:r>
    </w:p>
    <w:p w14:paraId="185007E1" w14:textId="77777777" w:rsidR="00FE569C" w:rsidRPr="00FE569C" w:rsidRDefault="00FE569C" w:rsidP="00FE569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Security threats: Awareness training to handle intruders or aggressive individuals; following fire evacuation and lockdown procedures.</w:t>
      </w:r>
    </w:p>
    <w:p w14:paraId="45EB1599" w14:textId="673DE012" w:rsidR="00FE569C" w:rsidRPr="00FE569C" w:rsidRDefault="00FE569C" w:rsidP="00FE569C">
      <w:pPr>
        <w:spacing w:after="0"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sz w:val="27"/>
          <w:szCs w:val="27"/>
          <w14:ligatures w14:val="none"/>
        </w:rPr>
        <w:t>6. What type of safety training is provided?</w:t>
      </w:r>
    </w:p>
    <w:p w14:paraId="66A868B8" w14:textId="77777777" w:rsidR="00FE569C" w:rsidRPr="00FE569C" w:rsidRDefault="00FE569C" w:rsidP="00FE569C">
      <w:p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Aramark provides comprehensive and ongoing safety training, including:</w:t>
      </w:r>
    </w:p>
    <w:p w14:paraId="65C64863" w14:textId="77777777" w:rsidR="00FE569C" w:rsidRPr="00FE569C" w:rsidRDefault="00FE569C" w:rsidP="00FE569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New hire orientation covering OSHA standards, emergency procedures, and food safety.</w:t>
      </w:r>
    </w:p>
    <w:p w14:paraId="02D3ED3D" w14:textId="77777777" w:rsidR="00FE569C" w:rsidRPr="00FE569C" w:rsidRDefault="00FE569C" w:rsidP="00FE569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ServSafe certification for managers and food handlers.</w:t>
      </w:r>
    </w:p>
    <w:p w14:paraId="1740E686" w14:textId="77777777" w:rsidR="00FE569C" w:rsidRPr="00FE569C" w:rsidRDefault="00FE569C" w:rsidP="00FE569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Annual refresher sessions on chemical safety, PPE use, and sanitation.</w:t>
      </w:r>
    </w:p>
    <w:p w14:paraId="2FD86059" w14:textId="77777777" w:rsidR="00FE569C" w:rsidRPr="00FE569C" w:rsidRDefault="00FE569C" w:rsidP="00FE569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Hands-on kitchen safety workshops focusing on knife skills, equipment handling, and accident prevention.</w:t>
      </w:r>
    </w:p>
    <w:p w14:paraId="1AF5139F" w14:textId="77777777" w:rsidR="00FE569C" w:rsidRPr="00FE569C" w:rsidRDefault="00FE569C" w:rsidP="00FE569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Emergency drills for fire, evacuation, and severe weather scenarios.</w:t>
      </w:r>
    </w:p>
    <w:p w14:paraId="46FE73B5" w14:textId="77777777" w:rsidR="00FE569C" w:rsidRPr="00FE569C" w:rsidRDefault="00FE569C" w:rsidP="00FE569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Online OSHA-compliant modules and regular safety meetings to review incidents and reinforce best practices.</w:t>
      </w:r>
    </w:p>
    <w:p w14:paraId="4D9355C9" w14:textId="3B368082" w:rsidR="00FE569C" w:rsidRPr="00FE569C" w:rsidRDefault="00FE569C" w:rsidP="00FE569C">
      <w:pPr>
        <w:spacing w:after="0"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sz w:val="27"/>
          <w:szCs w:val="27"/>
          <w14:ligatures w14:val="none"/>
        </w:rPr>
        <w:t>7. Occupational Safety and Health Act (OSHA) summary</w:t>
      </w:r>
    </w:p>
    <w:p w14:paraId="284EE998" w14:textId="77777777" w:rsidR="00FE569C" w:rsidRPr="00FE569C" w:rsidRDefault="00FE569C" w:rsidP="00FE569C">
      <w:p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Under the Occupational Safety and Health Act (1970), Aramark is committed to maintaining a safe and healthful workplace by:</w:t>
      </w:r>
    </w:p>
    <w:p w14:paraId="7664436F" w14:textId="77777777" w:rsidR="00FE569C" w:rsidRPr="00FE569C" w:rsidRDefault="00FE569C" w:rsidP="00FE569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lastRenderedPageBreak/>
        <w:t>Complying with OSHA safety standards and local regulations.</w:t>
      </w:r>
    </w:p>
    <w:p w14:paraId="7F7BE3A5" w14:textId="77777777" w:rsidR="00FE569C" w:rsidRPr="00FE569C" w:rsidRDefault="00FE569C" w:rsidP="00FE569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Providing safety equipment, training, and resources.</w:t>
      </w:r>
    </w:p>
    <w:p w14:paraId="4ED9278D" w14:textId="77777777" w:rsidR="00FE569C" w:rsidRPr="00FE569C" w:rsidRDefault="00FE569C" w:rsidP="00FE569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Reporting and investigating all accidents or near misses.</w:t>
      </w:r>
    </w:p>
    <w:p w14:paraId="7BCF3ABD" w14:textId="77777777" w:rsidR="00FE569C" w:rsidRPr="00FE569C" w:rsidRDefault="00FE569C" w:rsidP="00FE569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Encouraging employees to voice safety concerns without fear of retaliation.</w:t>
      </w:r>
    </w:p>
    <w:p w14:paraId="580D61CA" w14:textId="77777777" w:rsidR="00FE569C" w:rsidRPr="00FE569C" w:rsidRDefault="00FE569C" w:rsidP="00FE569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E569C">
        <w:rPr>
          <w:rFonts w:ascii="Times New Roman" w:eastAsia="Times New Roman" w:hAnsi="Times New Roman" w:cs="Times New Roman"/>
          <w:kern w:val="0"/>
          <w14:ligatures w14:val="none"/>
        </w:rPr>
        <w:t>Continuously improving safety programs through inspections, audits, and employee feedback.</w:t>
      </w:r>
    </w:p>
    <w:p w14:paraId="30DBC0EB" w14:textId="640D3BCE" w:rsidR="004B76F7" w:rsidRPr="00FE569C" w:rsidRDefault="004B76F7">
      <w:pPr>
        <w:rPr>
          <w:rFonts w:asciiTheme="majorBidi" w:hAnsiTheme="majorBidi" w:cstheme="majorBidi"/>
        </w:rPr>
      </w:pPr>
    </w:p>
    <w:sectPr w:rsidR="004B76F7" w:rsidRPr="00FE569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F3FF8" w14:textId="77777777" w:rsidR="00112288" w:rsidRDefault="00112288" w:rsidP="00DC4E0E">
      <w:pPr>
        <w:spacing w:after="0" w:line="240" w:lineRule="auto"/>
      </w:pPr>
      <w:r>
        <w:separator/>
      </w:r>
    </w:p>
  </w:endnote>
  <w:endnote w:type="continuationSeparator" w:id="0">
    <w:p w14:paraId="7D2F7704" w14:textId="77777777" w:rsidR="00112288" w:rsidRDefault="00112288" w:rsidP="00DC4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58BD9" w14:textId="77777777" w:rsidR="00112288" w:rsidRDefault="00112288" w:rsidP="00DC4E0E">
      <w:pPr>
        <w:spacing w:after="0" w:line="240" w:lineRule="auto"/>
      </w:pPr>
      <w:r>
        <w:separator/>
      </w:r>
    </w:p>
  </w:footnote>
  <w:footnote w:type="continuationSeparator" w:id="0">
    <w:p w14:paraId="18DB48EC" w14:textId="77777777" w:rsidR="00112288" w:rsidRDefault="00112288" w:rsidP="00DC4E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2FB5"/>
    <w:multiLevelType w:val="multilevel"/>
    <w:tmpl w:val="C7685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11199C"/>
    <w:multiLevelType w:val="multilevel"/>
    <w:tmpl w:val="3CD0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753E36"/>
    <w:multiLevelType w:val="multilevel"/>
    <w:tmpl w:val="BEB6E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203135"/>
    <w:multiLevelType w:val="multilevel"/>
    <w:tmpl w:val="DAD4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89058E"/>
    <w:multiLevelType w:val="multilevel"/>
    <w:tmpl w:val="AD8A3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BC519F"/>
    <w:multiLevelType w:val="multilevel"/>
    <w:tmpl w:val="FD26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2274558">
    <w:abstractNumId w:val="2"/>
  </w:num>
  <w:num w:numId="2" w16cid:durableId="1380545836">
    <w:abstractNumId w:val="1"/>
  </w:num>
  <w:num w:numId="3" w16cid:durableId="266011916">
    <w:abstractNumId w:val="3"/>
  </w:num>
  <w:num w:numId="4" w16cid:durableId="2091656627">
    <w:abstractNumId w:val="4"/>
  </w:num>
  <w:num w:numId="5" w16cid:durableId="949699287">
    <w:abstractNumId w:val="0"/>
  </w:num>
  <w:num w:numId="6" w16cid:durableId="17692310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1E2"/>
    <w:rsid w:val="00112288"/>
    <w:rsid w:val="00236FF7"/>
    <w:rsid w:val="003065A9"/>
    <w:rsid w:val="00355CA8"/>
    <w:rsid w:val="004B76F7"/>
    <w:rsid w:val="006528A3"/>
    <w:rsid w:val="007121E2"/>
    <w:rsid w:val="00853215"/>
    <w:rsid w:val="00D23787"/>
    <w:rsid w:val="00DC4E0E"/>
    <w:rsid w:val="00FE569C"/>
  </w:rsids>
  <m:mathPr>
    <m:mathFont m:val="Cambria Math"/>
    <m:brkBin m:val="before"/>
    <m:brkBinSub m:val="--"/>
    <m:smallFrac m:val="0"/>
    <m:dispDef/>
    <m:lMargin m:val="0"/>
    <m:rMargin m:val="0"/>
    <m:defJc m:val="centerGroup"/>
    <m:wrapIndent m:val="1440"/>
    <m:intLim m:val="subSup"/>
    <m:naryLim m:val="undOvr"/>
  </m:mathPr>
  <w:themeFontLang w:val="en-P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F91E0"/>
  <w15:chartTrackingRefBased/>
  <w15:docId w15:val="{537F425E-04FD-C745-A5E4-2FB1C1D2E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1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1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121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1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1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1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1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1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1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1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1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121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1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1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1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1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1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1E2"/>
    <w:rPr>
      <w:rFonts w:eastAsiaTheme="majorEastAsia" w:cstheme="majorBidi"/>
      <w:color w:val="272727" w:themeColor="text1" w:themeTint="D8"/>
    </w:rPr>
  </w:style>
  <w:style w:type="paragraph" w:styleId="Title">
    <w:name w:val="Title"/>
    <w:basedOn w:val="Normal"/>
    <w:next w:val="Normal"/>
    <w:link w:val="TitleChar"/>
    <w:uiPriority w:val="10"/>
    <w:qFormat/>
    <w:rsid w:val="007121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1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1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1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1E2"/>
    <w:pPr>
      <w:spacing w:before="160"/>
      <w:jc w:val="center"/>
    </w:pPr>
    <w:rPr>
      <w:i/>
      <w:iCs/>
      <w:color w:val="404040" w:themeColor="text1" w:themeTint="BF"/>
    </w:rPr>
  </w:style>
  <w:style w:type="character" w:customStyle="1" w:styleId="QuoteChar">
    <w:name w:val="Quote Char"/>
    <w:basedOn w:val="DefaultParagraphFont"/>
    <w:link w:val="Quote"/>
    <w:uiPriority w:val="29"/>
    <w:rsid w:val="007121E2"/>
    <w:rPr>
      <w:i/>
      <w:iCs/>
      <w:color w:val="404040" w:themeColor="text1" w:themeTint="BF"/>
    </w:rPr>
  </w:style>
  <w:style w:type="paragraph" w:styleId="ListParagraph">
    <w:name w:val="List Paragraph"/>
    <w:basedOn w:val="Normal"/>
    <w:uiPriority w:val="34"/>
    <w:qFormat/>
    <w:rsid w:val="007121E2"/>
    <w:pPr>
      <w:ind w:left="720"/>
      <w:contextualSpacing/>
    </w:pPr>
  </w:style>
  <w:style w:type="character" w:styleId="IntenseEmphasis">
    <w:name w:val="Intense Emphasis"/>
    <w:basedOn w:val="DefaultParagraphFont"/>
    <w:uiPriority w:val="21"/>
    <w:qFormat/>
    <w:rsid w:val="007121E2"/>
    <w:rPr>
      <w:i/>
      <w:iCs/>
      <w:color w:val="0F4761" w:themeColor="accent1" w:themeShade="BF"/>
    </w:rPr>
  </w:style>
  <w:style w:type="paragraph" w:styleId="IntenseQuote">
    <w:name w:val="Intense Quote"/>
    <w:basedOn w:val="Normal"/>
    <w:next w:val="Normal"/>
    <w:link w:val="IntenseQuoteChar"/>
    <w:uiPriority w:val="30"/>
    <w:qFormat/>
    <w:rsid w:val="007121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1E2"/>
    <w:rPr>
      <w:i/>
      <w:iCs/>
      <w:color w:val="0F4761" w:themeColor="accent1" w:themeShade="BF"/>
    </w:rPr>
  </w:style>
  <w:style w:type="character" w:styleId="IntenseReference">
    <w:name w:val="Intense Reference"/>
    <w:basedOn w:val="DefaultParagraphFont"/>
    <w:uiPriority w:val="32"/>
    <w:qFormat/>
    <w:rsid w:val="007121E2"/>
    <w:rPr>
      <w:b/>
      <w:bCs/>
      <w:smallCaps/>
      <w:color w:val="0F4761" w:themeColor="accent1" w:themeShade="BF"/>
      <w:spacing w:val="5"/>
    </w:rPr>
  </w:style>
  <w:style w:type="character" w:customStyle="1" w:styleId="markedcontent">
    <w:name w:val="markedcontent"/>
    <w:basedOn w:val="DefaultParagraphFont"/>
    <w:rsid w:val="007121E2"/>
  </w:style>
  <w:style w:type="paragraph" w:styleId="Header">
    <w:name w:val="header"/>
    <w:basedOn w:val="Normal"/>
    <w:link w:val="HeaderChar"/>
    <w:uiPriority w:val="99"/>
    <w:unhideWhenUsed/>
    <w:rsid w:val="00DC4E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4E0E"/>
  </w:style>
  <w:style w:type="paragraph" w:styleId="Footer">
    <w:name w:val="footer"/>
    <w:basedOn w:val="Normal"/>
    <w:link w:val="FooterChar"/>
    <w:uiPriority w:val="99"/>
    <w:unhideWhenUsed/>
    <w:rsid w:val="00DC4E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4E0E"/>
  </w:style>
  <w:style w:type="character" w:styleId="Strong">
    <w:name w:val="Strong"/>
    <w:basedOn w:val="DefaultParagraphFont"/>
    <w:uiPriority w:val="22"/>
    <w:qFormat/>
    <w:rsid w:val="00FE569C"/>
    <w:rPr>
      <w:b/>
      <w:bCs/>
    </w:rPr>
  </w:style>
  <w:style w:type="paragraph" w:styleId="NormalWeb">
    <w:name w:val="Normal (Web)"/>
    <w:basedOn w:val="Normal"/>
    <w:uiPriority w:val="99"/>
    <w:semiHidden/>
    <w:unhideWhenUsed/>
    <w:rsid w:val="00FE569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FE56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708</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Dasa, Asma</dc:creator>
  <cp:keywords/>
  <dc:description/>
  <cp:lastModifiedBy>Dasa, Asma</cp:lastModifiedBy>
  <cp:revision>2</cp:revision>
  <dcterms:created xsi:type="dcterms:W3CDTF">2025-10-27T15:53:00Z</dcterms:created>
  <dcterms:modified xsi:type="dcterms:W3CDTF">2025-10-27T15:53:00Z</dcterms:modified>
</cp:coreProperties>
</file>