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EF04" w14:textId="348D786A" w:rsidR="008928E1" w:rsidRPr="00262004" w:rsidRDefault="00000000" w:rsidP="00262004">
      <w:pPr>
        <w:pStyle w:val="Title2"/>
        <w:rPr>
          <w:b/>
          <w:bCs/>
        </w:rPr>
      </w:pPr>
      <w:sdt>
        <w:sdtPr>
          <w:rPr>
            <w:b/>
            <w:bCs/>
          </w:rPr>
          <w:alias w:val="Title"/>
          <w:tag w:val=""/>
          <w:id w:val="726351117"/>
          <w:placeholder>
            <w:docPart w:val="9684CE6BAE747249A2C23DDF504FC76D"/>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CB3B8D">
            <w:rPr>
              <w:b/>
              <w:bCs/>
            </w:rPr>
            <w:t>Case study paper</w:t>
          </w:r>
        </w:sdtContent>
      </w:sdt>
      <w:r w:rsidR="00262004">
        <w:rPr>
          <w:b/>
          <w:bCs/>
        </w:rPr>
        <w:br/>
      </w:r>
    </w:p>
    <w:p w14:paraId="27373F7A" w14:textId="61AA8A53" w:rsidR="008928E1" w:rsidRDefault="00262004">
      <w:pPr>
        <w:pStyle w:val="Title2"/>
      </w:pPr>
      <w:r>
        <w:t>Reem Y. Dasa</w:t>
      </w:r>
    </w:p>
    <w:p w14:paraId="0D8AE8B1" w14:textId="6381EB01" w:rsidR="008928E1" w:rsidRDefault="00262004">
      <w:pPr>
        <w:pStyle w:val="Title2"/>
      </w:pPr>
      <w:r w:rsidRPr="00262004">
        <w:t>Supervised Practice: Clinical and Medical Nutrition Therapy</w:t>
      </w:r>
      <w:r w:rsidRPr="00262004">
        <w:br/>
        <w:t>Course Number ND 568</w:t>
      </w:r>
    </w:p>
    <w:p w14:paraId="581192EC" w14:textId="7BEE2DB3" w:rsidR="00262004" w:rsidRDefault="00262004">
      <w:pPr>
        <w:pStyle w:val="Title2"/>
      </w:pPr>
      <w:r w:rsidRPr="00262004">
        <w:t>Guthrie Lourdes Hospital, NY</w:t>
      </w:r>
    </w:p>
    <w:p w14:paraId="4A042ED8" w14:textId="74128815" w:rsidR="00262004" w:rsidRDefault="00C076B5">
      <w:pPr>
        <w:pStyle w:val="Title2"/>
      </w:pPr>
      <w:r>
        <w:t>Preceptor: Julie Leonard</w:t>
      </w:r>
    </w:p>
    <w:p w14:paraId="3889A20D" w14:textId="77777777" w:rsidR="00262004" w:rsidRDefault="00262004">
      <w:pPr>
        <w:pStyle w:val="Title2"/>
      </w:pPr>
    </w:p>
    <w:p w14:paraId="7D5E378C" w14:textId="77777777" w:rsidR="00262004" w:rsidRDefault="00262004">
      <w:pPr>
        <w:pStyle w:val="Title2"/>
      </w:pPr>
    </w:p>
    <w:p w14:paraId="0588D4A8" w14:textId="77777777" w:rsidR="00262004" w:rsidRDefault="00262004">
      <w:pPr>
        <w:pStyle w:val="Title2"/>
      </w:pPr>
    </w:p>
    <w:p w14:paraId="1F60090C" w14:textId="77777777" w:rsidR="00262004" w:rsidRDefault="00262004">
      <w:pPr>
        <w:pStyle w:val="Title2"/>
      </w:pPr>
    </w:p>
    <w:p w14:paraId="5AB2653C" w14:textId="176B9828" w:rsidR="00262004" w:rsidRDefault="00C076B5">
      <w:pPr>
        <w:pStyle w:val="Title2"/>
      </w:pPr>
      <w:r w:rsidRPr="00C076B5">
        <w:t>Date:</w:t>
      </w:r>
      <w:r w:rsidR="00262004" w:rsidRPr="00C076B5">
        <w:t xml:space="preserve"> </w:t>
      </w:r>
      <w:r w:rsidRPr="00C076B5">
        <w:t>2/</w:t>
      </w:r>
      <w:r>
        <w:t>13/2026</w:t>
      </w:r>
    </w:p>
    <w:p w14:paraId="7D705059" w14:textId="77777777" w:rsidR="008928E1" w:rsidRDefault="00000000">
      <w:r>
        <w:br w:type="page"/>
      </w:r>
    </w:p>
    <w:sdt>
      <w:sdtPr>
        <w:rPr>
          <w:rFonts w:asciiTheme="minorHAnsi" w:eastAsiaTheme="minorEastAsia" w:hAnsiTheme="minorHAnsi" w:cstheme="minorBidi"/>
          <w:kern w:val="24"/>
          <w:szCs w:val="24"/>
          <w:lang w:eastAsia="ja-JP"/>
        </w:rPr>
        <w:id w:val="-2069870525"/>
        <w:docPartObj>
          <w:docPartGallery w:val="Table of Contents"/>
          <w:docPartUnique/>
        </w:docPartObj>
      </w:sdtPr>
      <w:sdtEndPr>
        <w:rPr>
          <w:b/>
          <w:bCs/>
          <w:noProof/>
        </w:rPr>
      </w:sdtEndPr>
      <w:sdtContent>
        <w:p w14:paraId="58C753F3" w14:textId="77777777" w:rsidR="008928E1" w:rsidRDefault="00000000">
          <w:pPr>
            <w:pStyle w:val="TOCHeading"/>
          </w:pPr>
          <w:r>
            <w:t>Table of Contents</w:t>
          </w:r>
        </w:p>
        <w:p w14:paraId="71EC8796" w14:textId="6B1FB332" w:rsidR="008928E1" w:rsidRDefault="00000000">
          <w:pPr>
            <w:pStyle w:val="TOC1"/>
            <w:tabs>
              <w:tab w:val="right" w:leader="dot" w:pos="9350"/>
            </w:tabs>
            <w:rPr>
              <w:noProof/>
              <w:kern w:val="0"/>
              <w:sz w:val="22"/>
              <w:szCs w:val="22"/>
              <w:lang w:eastAsia="en-US"/>
            </w:rPr>
          </w:pPr>
          <w:r>
            <w:fldChar w:fldCharType="begin"/>
          </w:r>
          <w:r>
            <w:instrText xml:space="preserve"> TOC \o "1-3" \h \z \u </w:instrText>
          </w:r>
          <w:r>
            <w:fldChar w:fldCharType="separate"/>
          </w:r>
          <w:hyperlink w:anchor="_Toc409783205" w:history="1">
            <w:r w:rsidR="00262004">
              <w:rPr>
                <w:rStyle w:val="Hyperlink"/>
                <w:noProof/>
              </w:rPr>
              <w:t>introduction</w:t>
            </w:r>
            <w:r>
              <w:rPr>
                <w:noProof/>
                <w:webHidden/>
              </w:rPr>
              <w:tab/>
            </w:r>
            <w:r>
              <w:rPr>
                <w:noProof/>
                <w:webHidden/>
              </w:rPr>
              <w:fldChar w:fldCharType="begin"/>
            </w:r>
            <w:r>
              <w:rPr>
                <w:noProof/>
                <w:webHidden/>
              </w:rPr>
              <w:instrText xml:space="preserve"> PAGEREF _Toc409783205 \h </w:instrText>
            </w:r>
            <w:r>
              <w:rPr>
                <w:noProof/>
                <w:webHidden/>
              </w:rPr>
              <w:fldChar w:fldCharType="separate"/>
            </w:r>
            <w:r w:rsidR="0052154F">
              <w:rPr>
                <w:b/>
                <w:bCs/>
                <w:noProof/>
                <w:webHidden/>
              </w:rPr>
              <w:t>Error! Bookmark not defined.</w:t>
            </w:r>
            <w:r>
              <w:rPr>
                <w:noProof/>
                <w:webHidden/>
              </w:rPr>
              <w:fldChar w:fldCharType="end"/>
            </w:r>
          </w:hyperlink>
        </w:p>
        <w:p w14:paraId="1A1A7E6E" w14:textId="4DCC9510" w:rsidR="008928E1" w:rsidRDefault="008928E1">
          <w:pPr>
            <w:pStyle w:val="TOC1"/>
            <w:tabs>
              <w:tab w:val="right" w:leader="dot" w:pos="9350"/>
            </w:tabs>
            <w:rPr>
              <w:noProof/>
              <w:kern w:val="0"/>
              <w:sz w:val="22"/>
              <w:szCs w:val="22"/>
              <w:lang w:eastAsia="en-US"/>
            </w:rPr>
          </w:pPr>
          <w:hyperlink w:anchor="_Toc409783206" w:history="1">
            <w:r>
              <w:rPr>
                <w:rStyle w:val="Hyperlink"/>
                <w:noProof/>
              </w:rPr>
              <w:t>[Title Here, up to 12 Words, on One to Two Lines]</w:t>
            </w:r>
            <w:r>
              <w:rPr>
                <w:noProof/>
                <w:webHidden/>
              </w:rPr>
              <w:tab/>
            </w:r>
            <w:r>
              <w:rPr>
                <w:noProof/>
                <w:webHidden/>
              </w:rPr>
              <w:fldChar w:fldCharType="begin"/>
            </w:r>
            <w:r>
              <w:rPr>
                <w:noProof/>
                <w:webHidden/>
              </w:rPr>
              <w:instrText xml:space="preserve"> PAGEREF _Toc409783206 \h </w:instrText>
            </w:r>
            <w:r>
              <w:rPr>
                <w:noProof/>
                <w:webHidden/>
              </w:rPr>
            </w:r>
            <w:r>
              <w:rPr>
                <w:noProof/>
                <w:webHidden/>
              </w:rPr>
              <w:fldChar w:fldCharType="separate"/>
            </w:r>
            <w:r w:rsidR="0052154F">
              <w:rPr>
                <w:noProof/>
                <w:webHidden/>
              </w:rPr>
              <w:t>3</w:t>
            </w:r>
            <w:r>
              <w:rPr>
                <w:noProof/>
                <w:webHidden/>
              </w:rPr>
              <w:fldChar w:fldCharType="end"/>
            </w:r>
          </w:hyperlink>
        </w:p>
        <w:p w14:paraId="0570FBE2" w14:textId="59BC72E5" w:rsidR="008928E1" w:rsidRDefault="008928E1">
          <w:pPr>
            <w:pStyle w:val="TOC1"/>
            <w:tabs>
              <w:tab w:val="right" w:leader="dot" w:pos="9350"/>
            </w:tabs>
            <w:rPr>
              <w:noProof/>
              <w:kern w:val="0"/>
              <w:sz w:val="22"/>
              <w:szCs w:val="22"/>
              <w:lang w:eastAsia="en-US"/>
            </w:rPr>
          </w:pPr>
          <w:hyperlink w:anchor="_Toc409783207" w:history="1">
            <w:r>
              <w:rPr>
                <w:rStyle w:val="Hyperlink"/>
                <w:noProof/>
              </w:rPr>
              <w:t>[Heading 1]</w:t>
            </w:r>
            <w:r>
              <w:rPr>
                <w:noProof/>
                <w:webHidden/>
              </w:rPr>
              <w:tab/>
            </w:r>
            <w:r>
              <w:rPr>
                <w:noProof/>
                <w:webHidden/>
              </w:rPr>
              <w:fldChar w:fldCharType="begin"/>
            </w:r>
            <w:r>
              <w:rPr>
                <w:noProof/>
                <w:webHidden/>
              </w:rPr>
              <w:instrText xml:space="preserve"> PAGEREF _Toc409783207 \h </w:instrText>
            </w:r>
            <w:r>
              <w:rPr>
                <w:noProof/>
                <w:webHidden/>
              </w:rPr>
              <w:fldChar w:fldCharType="separate"/>
            </w:r>
            <w:r w:rsidR="0052154F">
              <w:rPr>
                <w:b/>
                <w:bCs/>
                <w:noProof/>
                <w:webHidden/>
              </w:rPr>
              <w:t>Error! Bookmark not defined.</w:t>
            </w:r>
            <w:r>
              <w:rPr>
                <w:noProof/>
                <w:webHidden/>
              </w:rPr>
              <w:fldChar w:fldCharType="end"/>
            </w:r>
          </w:hyperlink>
        </w:p>
        <w:p w14:paraId="5A7BD03C" w14:textId="7857EC87" w:rsidR="008928E1" w:rsidRDefault="008928E1">
          <w:pPr>
            <w:pStyle w:val="TOC2"/>
            <w:tabs>
              <w:tab w:val="right" w:leader="dot" w:pos="9350"/>
            </w:tabs>
            <w:rPr>
              <w:noProof/>
              <w:kern w:val="0"/>
              <w:sz w:val="22"/>
              <w:szCs w:val="22"/>
              <w:lang w:eastAsia="en-US"/>
            </w:rPr>
          </w:pPr>
          <w:hyperlink w:anchor="_Toc409783208" w:history="1">
            <w:r>
              <w:rPr>
                <w:rStyle w:val="Hyperlink"/>
                <w:noProof/>
              </w:rPr>
              <w:t>[Heading 2]</w:t>
            </w:r>
            <w:r>
              <w:rPr>
                <w:noProof/>
                <w:webHidden/>
              </w:rPr>
              <w:tab/>
            </w:r>
            <w:r>
              <w:rPr>
                <w:noProof/>
                <w:webHidden/>
              </w:rPr>
              <w:fldChar w:fldCharType="begin"/>
            </w:r>
            <w:r>
              <w:rPr>
                <w:noProof/>
                <w:webHidden/>
              </w:rPr>
              <w:instrText xml:space="preserve"> PAGEREF _Toc409783208 \h </w:instrText>
            </w:r>
            <w:r>
              <w:rPr>
                <w:noProof/>
                <w:webHidden/>
              </w:rPr>
              <w:fldChar w:fldCharType="separate"/>
            </w:r>
            <w:r w:rsidR="0052154F">
              <w:rPr>
                <w:b/>
                <w:bCs/>
                <w:noProof/>
                <w:webHidden/>
              </w:rPr>
              <w:t>Error! Bookmark not defined.</w:t>
            </w:r>
            <w:r>
              <w:rPr>
                <w:noProof/>
                <w:webHidden/>
              </w:rPr>
              <w:fldChar w:fldCharType="end"/>
            </w:r>
          </w:hyperlink>
        </w:p>
        <w:p w14:paraId="5AF08468" w14:textId="3D1D5927" w:rsidR="008928E1" w:rsidRDefault="008928E1">
          <w:pPr>
            <w:pStyle w:val="TOC3"/>
            <w:tabs>
              <w:tab w:val="right" w:leader="dot" w:pos="9350"/>
            </w:tabs>
            <w:rPr>
              <w:noProof/>
              <w:kern w:val="0"/>
              <w:sz w:val="22"/>
              <w:szCs w:val="22"/>
              <w:lang w:eastAsia="en-US"/>
            </w:rPr>
          </w:pPr>
          <w:hyperlink w:anchor="_Toc409783209" w:history="1">
            <w:r>
              <w:rPr>
                <w:rStyle w:val="Hyperlink"/>
                <w:noProof/>
              </w:rPr>
              <w:t>[Heading 3]</w:t>
            </w:r>
            <w:r>
              <w:rPr>
                <w:noProof/>
                <w:webHidden/>
              </w:rPr>
              <w:tab/>
            </w:r>
            <w:r>
              <w:rPr>
                <w:noProof/>
                <w:webHidden/>
              </w:rPr>
              <w:fldChar w:fldCharType="begin"/>
            </w:r>
            <w:r>
              <w:rPr>
                <w:noProof/>
                <w:webHidden/>
              </w:rPr>
              <w:instrText xml:space="preserve"> PAGEREF _Toc409783209 \h </w:instrText>
            </w:r>
            <w:r>
              <w:rPr>
                <w:noProof/>
                <w:webHidden/>
              </w:rPr>
              <w:fldChar w:fldCharType="separate"/>
            </w:r>
            <w:r w:rsidR="0052154F">
              <w:rPr>
                <w:b/>
                <w:bCs/>
                <w:noProof/>
                <w:webHidden/>
              </w:rPr>
              <w:t>Error! Bookmark not defined.</w:t>
            </w:r>
            <w:r>
              <w:rPr>
                <w:noProof/>
                <w:webHidden/>
              </w:rPr>
              <w:fldChar w:fldCharType="end"/>
            </w:r>
          </w:hyperlink>
        </w:p>
        <w:p w14:paraId="58147839" w14:textId="4656DA23" w:rsidR="008928E1" w:rsidRDefault="008928E1">
          <w:pPr>
            <w:pStyle w:val="TOC1"/>
            <w:tabs>
              <w:tab w:val="right" w:leader="dot" w:pos="9350"/>
            </w:tabs>
            <w:rPr>
              <w:noProof/>
              <w:kern w:val="0"/>
              <w:sz w:val="22"/>
              <w:szCs w:val="22"/>
              <w:lang w:eastAsia="en-US"/>
            </w:rPr>
          </w:pPr>
          <w:hyperlink w:anchor="_Toc409783210" w:history="1">
            <w:r>
              <w:rPr>
                <w:rStyle w:val="Hyperlink"/>
                <w:noProof/>
              </w:rPr>
              <w:t>References</w:t>
            </w:r>
            <w:r>
              <w:rPr>
                <w:noProof/>
                <w:webHidden/>
              </w:rPr>
              <w:tab/>
            </w:r>
            <w:r>
              <w:rPr>
                <w:noProof/>
                <w:webHidden/>
              </w:rPr>
              <w:fldChar w:fldCharType="begin"/>
            </w:r>
            <w:r>
              <w:rPr>
                <w:noProof/>
                <w:webHidden/>
              </w:rPr>
              <w:instrText xml:space="preserve"> PAGEREF _Toc409783210 \h </w:instrText>
            </w:r>
            <w:r>
              <w:rPr>
                <w:noProof/>
                <w:webHidden/>
              </w:rPr>
            </w:r>
            <w:r>
              <w:rPr>
                <w:noProof/>
                <w:webHidden/>
              </w:rPr>
              <w:fldChar w:fldCharType="separate"/>
            </w:r>
            <w:r w:rsidR="0052154F">
              <w:rPr>
                <w:noProof/>
                <w:webHidden/>
              </w:rPr>
              <w:t>4</w:t>
            </w:r>
            <w:r>
              <w:rPr>
                <w:noProof/>
                <w:webHidden/>
              </w:rPr>
              <w:fldChar w:fldCharType="end"/>
            </w:r>
          </w:hyperlink>
        </w:p>
        <w:p w14:paraId="245518DF" w14:textId="2133E691" w:rsidR="008928E1" w:rsidRDefault="008928E1">
          <w:pPr>
            <w:pStyle w:val="TOC1"/>
            <w:tabs>
              <w:tab w:val="right" w:leader="dot" w:pos="9350"/>
            </w:tabs>
            <w:rPr>
              <w:noProof/>
              <w:kern w:val="0"/>
              <w:sz w:val="22"/>
              <w:szCs w:val="22"/>
              <w:lang w:eastAsia="en-US"/>
            </w:rPr>
          </w:pPr>
          <w:hyperlink w:anchor="_Toc409783211" w:history="1">
            <w:r>
              <w:rPr>
                <w:rStyle w:val="Hyperlink"/>
                <w:noProof/>
              </w:rPr>
              <w:t>Footnotes</w:t>
            </w:r>
            <w:r>
              <w:rPr>
                <w:noProof/>
                <w:webHidden/>
              </w:rPr>
              <w:tab/>
            </w:r>
            <w:r>
              <w:rPr>
                <w:noProof/>
                <w:webHidden/>
              </w:rPr>
              <w:fldChar w:fldCharType="begin"/>
            </w:r>
            <w:r>
              <w:rPr>
                <w:noProof/>
                <w:webHidden/>
              </w:rPr>
              <w:instrText xml:space="preserve"> PAGEREF _Toc409783211 \h </w:instrText>
            </w:r>
            <w:r>
              <w:rPr>
                <w:noProof/>
                <w:webHidden/>
              </w:rPr>
            </w:r>
            <w:r>
              <w:rPr>
                <w:noProof/>
                <w:webHidden/>
              </w:rPr>
              <w:fldChar w:fldCharType="separate"/>
            </w:r>
            <w:r w:rsidR="0052154F">
              <w:rPr>
                <w:noProof/>
                <w:webHidden/>
              </w:rPr>
              <w:t>17</w:t>
            </w:r>
            <w:r>
              <w:rPr>
                <w:noProof/>
                <w:webHidden/>
              </w:rPr>
              <w:fldChar w:fldCharType="end"/>
            </w:r>
          </w:hyperlink>
        </w:p>
        <w:p w14:paraId="6FA7E7A5" w14:textId="1410C0D2" w:rsidR="008928E1" w:rsidRDefault="008928E1">
          <w:pPr>
            <w:pStyle w:val="TOC1"/>
            <w:tabs>
              <w:tab w:val="right" w:leader="dot" w:pos="9350"/>
            </w:tabs>
            <w:rPr>
              <w:noProof/>
              <w:kern w:val="0"/>
              <w:sz w:val="22"/>
              <w:szCs w:val="22"/>
              <w:lang w:eastAsia="en-US"/>
            </w:rPr>
          </w:pPr>
          <w:hyperlink w:anchor="_Toc409783212" w:history="1">
            <w:r>
              <w:rPr>
                <w:rStyle w:val="Hyperlink"/>
                <w:noProof/>
              </w:rPr>
              <w:t>Tables</w:t>
            </w:r>
            <w:r>
              <w:rPr>
                <w:noProof/>
                <w:webHidden/>
              </w:rPr>
              <w:tab/>
            </w:r>
            <w:r>
              <w:rPr>
                <w:noProof/>
                <w:webHidden/>
              </w:rPr>
              <w:fldChar w:fldCharType="begin"/>
            </w:r>
            <w:r>
              <w:rPr>
                <w:noProof/>
                <w:webHidden/>
              </w:rPr>
              <w:instrText xml:space="preserve"> PAGEREF _Toc409783212 \h </w:instrText>
            </w:r>
            <w:r>
              <w:rPr>
                <w:noProof/>
                <w:webHidden/>
              </w:rPr>
            </w:r>
            <w:r>
              <w:rPr>
                <w:noProof/>
                <w:webHidden/>
              </w:rPr>
              <w:fldChar w:fldCharType="separate"/>
            </w:r>
            <w:r w:rsidR="0052154F">
              <w:rPr>
                <w:noProof/>
                <w:webHidden/>
              </w:rPr>
              <w:t>18</w:t>
            </w:r>
            <w:r>
              <w:rPr>
                <w:noProof/>
                <w:webHidden/>
              </w:rPr>
              <w:fldChar w:fldCharType="end"/>
            </w:r>
          </w:hyperlink>
        </w:p>
        <w:p w14:paraId="176E8D78" w14:textId="672E137E" w:rsidR="008928E1" w:rsidRDefault="008928E1">
          <w:pPr>
            <w:pStyle w:val="TOC1"/>
            <w:tabs>
              <w:tab w:val="right" w:leader="dot" w:pos="9350"/>
            </w:tabs>
            <w:rPr>
              <w:noProof/>
              <w:kern w:val="0"/>
              <w:sz w:val="22"/>
              <w:szCs w:val="22"/>
              <w:lang w:eastAsia="en-US"/>
            </w:rPr>
          </w:pPr>
          <w:hyperlink w:anchor="_Toc409783213" w:history="1">
            <w:r>
              <w:rPr>
                <w:rStyle w:val="Hyperlink"/>
                <w:noProof/>
              </w:rPr>
              <w:t>Figures</w:t>
            </w:r>
            <w:r>
              <w:rPr>
                <w:noProof/>
                <w:webHidden/>
              </w:rPr>
              <w:tab/>
            </w:r>
            <w:r>
              <w:rPr>
                <w:noProof/>
                <w:webHidden/>
              </w:rPr>
              <w:fldChar w:fldCharType="begin"/>
            </w:r>
            <w:r>
              <w:rPr>
                <w:noProof/>
                <w:webHidden/>
              </w:rPr>
              <w:instrText xml:space="preserve"> PAGEREF _Toc409783213 \h </w:instrText>
            </w:r>
            <w:r>
              <w:rPr>
                <w:noProof/>
                <w:webHidden/>
              </w:rPr>
            </w:r>
            <w:r>
              <w:rPr>
                <w:noProof/>
                <w:webHidden/>
              </w:rPr>
              <w:fldChar w:fldCharType="separate"/>
            </w:r>
            <w:r w:rsidR="0052154F">
              <w:rPr>
                <w:noProof/>
                <w:webHidden/>
              </w:rPr>
              <w:t>19</w:t>
            </w:r>
            <w:r>
              <w:rPr>
                <w:noProof/>
                <w:webHidden/>
              </w:rPr>
              <w:fldChar w:fldCharType="end"/>
            </w:r>
          </w:hyperlink>
        </w:p>
        <w:p w14:paraId="0735F70F" w14:textId="77777777" w:rsidR="008928E1" w:rsidRDefault="00000000">
          <w:pPr>
            <w:ind w:firstLine="0"/>
          </w:pPr>
          <w:r>
            <w:rPr>
              <w:b/>
              <w:bCs/>
              <w:noProof/>
            </w:rPr>
            <w:fldChar w:fldCharType="end"/>
          </w:r>
        </w:p>
      </w:sdtContent>
    </w:sdt>
    <w:p w14:paraId="47709111" w14:textId="77777777" w:rsidR="00262004" w:rsidRDefault="00262004" w:rsidP="00262004">
      <w:bookmarkStart w:id="0" w:name="_Toc409783206"/>
    </w:p>
    <w:p w14:paraId="7CD83AD0" w14:textId="77777777" w:rsidR="00262004" w:rsidRDefault="00262004" w:rsidP="00262004">
      <w:pPr>
        <w:spacing w:before="120"/>
        <w:rPr>
          <w:b/>
        </w:rPr>
      </w:pPr>
    </w:p>
    <w:p w14:paraId="74217D20" w14:textId="77777777" w:rsidR="00262004" w:rsidRDefault="00262004" w:rsidP="00262004">
      <w:pPr>
        <w:spacing w:before="120"/>
        <w:rPr>
          <w:b/>
        </w:rPr>
      </w:pPr>
    </w:p>
    <w:p w14:paraId="3BD5C32B" w14:textId="77777777" w:rsidR="00262004" w:rsidRDefault="00262004" w:rsidP="00262004">
      <w:pPr>
        <w:spacing w:before="120"/>
        <w:rPr>
          <w:b/>
        </w:rPr>
      </w:pPr>
    </w:p>
    <w:p w14:paraId="14D3D447" w14:textId="77777777" w:rsidR="00262004" w:rsidRDefault="00262004" w:rsidP="00262004">
      <w:pPr>
        <w:spacing w:before="120"/>
        <w:rPr>
          <w:b/>
        </w:rPr>
      </w:pPr>
    </w:p>
    <w:p w14:paraId="556ABF8E" w14:textId="77777777" w:rsidR="00262004" w:rsidRDefault="00262004" w:rsidP="00262004">
      <w:pPr>
        <w:spacing w:before="120"/>
        <w:rPr>
          <w:b/>
        </w:rPr>
      </w:pPr>
    </w:p>
    <w:p w14:paraId="67A981DD" w14:textId="77777777" w:rsidR="00262004" w:rsidRDefault="00262004" w:rsidP="00262004">
      <w:pPr>
        <w:spacing w:before="120"/>
        <w:rPr>
          <w:b/>
        </w:rPr>
      </w:pPr>
    </w:p>
    <w:p w14:paraId="1799DF43" w14:textId="77777777" w:rsidR="00262004" w:rsidRDefault="00262004" w:rsidP="00262004">
      <w:pPr>
        <w:spacing w:before="120"/>
        <w:rPr>
          <w:b/>
        </w:rPr>
      </w:pPr>
    </w:p>
    <w:p w14:paraId="562095E3" w14:textId="77777777" w:rsidR="00262004" w:rsidRDefault="00262004" w:rsidP="00262004">
      <w:pPr>
        <w:spacing w:before="120"/>
        <w:rPr>
          <w:b/>
        </w:rPr>
      </w:pPr>
    </w:p>
    <w:p w14:paraId="447A2645" w14:textId="0516C8C3" w:rsidR="00262004" w:rsidRDefault="00262004" w:rsidP="00262004">
      <w:pPr>
        <w:spacing w:before="120"/>
      </w:pPr>
      <w:r>
        <w:rPr>
          <w:b/>
        </w:rPr>
        <w:lastRenderedPageBreak/>
        <w:t>Introduction</w:t>
      </w:r>
    </w:p>
    <w:p w14:paraId="1D1B10E4" w14:textId="1D4C43D6" w:rsidR="00262004" w:rsidRDefault="00262004" w:rsidP="00262004">
      <w:r>
        <w:t>This patient is a 64-year-old female who presented to the emergency department on 1/27/2026 with worsening right foot pain. The patient was admitted for severe chronic peripheral arterial disease with right toe cyanosis and rest pain. The patient’s past medical history is significant for metastatic adenocarcinoma of the lung currently treated with chemotherapy for approximately three weeks</w:t>
      </w:r>
      <w:r w:rsidR="00C076B5">
        <w:t>.</w:t>
      </w:r>
      <w:r w:rsidR="00AE4F01">
        <w:t xml:space="preserve"> </w:t>
      </w:r>
      <w:r>
        <w:t xml:space="preserve">Additional comorbidities include chronic obstructive pulmonary disease (COPD)/emphysema, hypertension, peripheral vascular disease, </w:t>
      </w:r>
      <w:r w:rsidRPr="00265D42">
        <w:t>prior cerebrovascular accident</w:t>
      </w:r>
      <w:r>
        <w:t xml:space="preserve">, hypothyroidism, pulmonary fibrosis, </w:t>
      </w:r>
      <w:r w:rsidR="00265D42">
        <w:t xml:space="preserve">Lung cancer </w:t>
      </w:r>
      <w:proofErr w:type="gramStart"/>
      <w:r w:rsidR="00265D42">
        <w:t>HCC ,</w:t>
      </w:r>
      <w:proofErr w:type="gramEnd"/>
      <w:r w:rsidR="00265D42">
        <w:t xml:space="preserve"> left sided weakness from Herniated disc (work related) </w:t>
      </w:r>
      <w:r>
        <w:t>and a history of colitis. During the admission, vascular surgery recommended a heparin infusion due to extensive multilevel occlusive disease and concern for malignancy-associated thrombophilia complicating revascularization options. From a nutrition perspective, the patient reported low energy and reduced appetite during chemotherapy, recent unintentional weight loss, and swallowing discomfort consistent with suspected radiation-related esophagitis.</w:t>
      </w:r>
    </w:p>
    <w:bookmarkEnd w:id="0"/>
    <w:p w14:paraId="39EE061D" w14:textId="75485F48" w:rsidR="00262004" w:rsidRPr="00BD6C15" w:rsidRDefault="00265D42">
      <w:pPr>
        <w:rPr>
          <w:i/>
          <w:iCs/>
        </w:rPr>
      </w:pPr>
      <w:r>
        <w:t>The patient reported living independently and managing most daily activities on her own. She noted that her brother visits periodically to check on her wellbeing and provide additional support as needed, including assisting with grocery shopping on occasion. To help maintain her household responsibilities, the patient has also hired a private housekeeper who comes regularly to assist with home care tasks and, at times, meal-related preparation</w:t>
      </w:r>
      <w:r w:rsidR="00C076B5">
        <w:t xml:space="preserve">, she smokes regularly. </w:t>
      </w:r>
      <w:r w:rsidR="00BD6C15" w:rsidRPr="00BD6C15">
        <w:t xml:space="preserve">The patient has severe chronic peripheral arterial disease now with cyanosis and rest pain of the toes of the right foot. Unfortunately, the patient also has lung cancer which complicates revascularization options as she runs the risk of paraneoplastic thrombophilia and may not be </w:t>
      </w:r>
      <w:r w:rsidR="00BD6C15" w:rsidRPr="00BD6C15">
        <w:lastRenderedPageBreak/>
        <w:t>able to maintain a bypass. Either way, or revascularization options are not endovascular and would likely require major, multilevel bypass procedure</w:t>
      </w:r>
      <w:r w:rsidR="00BD6C15">
        <w:t>.</w:t>
      </w:r>
      <w:r w:rsidR="00AD230F">
        <w:t xml:space="preserve"> </w:t>
      </w:r>
      <w:r w:rsidR="00AD230F" w:rsidRPr="00263DFA">
        <w:t xml:space="preserve">She did the procedure Feb </w:t>
      </w:r>
      <w:proofErr w:type="gramStart"/>
      <w:r w:rsidR="00AD230F" w:rsidRPr="00263DFA">
        <w:t>7 ,</w:t>
      </w:r>
      <w:proofErr w:type="gramEnd"/>
      <w:r w:rsidR="00AD230F" w:rsidRPr="00263DFA">
        <w:t xml:space="preserve"> 2026.</w:t>
      </w:r>
      <w:r w:rsidR="00AD230F">
        <w:t xml:space="preserve"> </w:t>
      </w:r>
    </w:p>
    <w:p w14:paraId="3169E09C" w14:textId="77777777" w:rsidR="00262004" w:rsidRDefault="00262004" w:rsidP="00262004">
      <w:pPr>
        <w:spacing w:before="120"/>
      </w:pPr>
      <w:bookmarkStart w:id="1" w:name="_Toc409783210"/>
      <w:r>
        <w:rPr>
          <w:b/>
        </w:rPr>
        <w:t>Pathophysiology</w:t>
      </w:r>
    </w:p>
    <w:p w14:paraId="6F0CA5E6" w14:textId="1F097F00" w:rsidR="00FB6AB3" w:rsidRPr="00FB6AB3" w:rsidRDefault="00FB6AB3" w:rsidP="00FB6AB3">
      <w:r w:rsidRPr="00FB6AB3">
        <w:t xml:space="preserve">Metastatic lung cancer is frequently accompanied by cancer-associated malnutrition and cachexia, a multifactorial syndrome characterized by ongoing loss of skeletal muscle mass (with or without fat loss) that is </w:t>
      </w:r>
      <w:r w:rsidRPr="00AD230F">
        <w:t>not fully reversible by conventional nutrition support</w:t>
      </w:r>
      <w:r w:rsidRPr="00FB6AB3">
        <w:t xml:space="preserve"> and is associated with progressive functional impairment (Fearon et al., 2011). The pathophysiology is driven by a variable combination of reduced dietary intake and abnormal metabolism, including systemic inflammation and catabolic signaling that disrupt the balance between muscle protein synthesis and breakdown (Fearon et al., 2011; Ni et al., 2020). Persistent inflammation and tumor</w:t>
      </w:r>
      <w:r>
        <w:t xml:space="preserve"> </w:t>
      </w:r>
      <w:r w:rsidRPr="00FB6AB3">
        <w:t xml:space="preserve">host interactions are associated with skeletal muscle wasting, fatigue, and declines in physical function, and these changes are clinically relevant because they may contribute to decreased tolerance of anticancer therapy and poorer outcomes (Cole et al., 2018; Ni et al., 2020). </w:t>
      </w:r>
    </w:p>
    <w:p w14:paraId="53454923" w14:textId="77777777" w:rsidR="00FB6AB3" w:rsidRPr="00FB6AB3" w:rsidRDefault="00FB6AB3" w:rsidP="00FB6AB3">
      <w:r w:rsidRPr="00FB6AB3">
        <w:t xml:space="preserve">Cancer therapy can exacerbate nutrition-impact symptoms that directly reduce oral intake. Chemotherapy is commonly associated with nausea, vomiting, early satiety, appetite loss, and sensory changes (e.g., dysgeusia), which can reduce enjoyment of food and contribute to inadequate energy and protein intake (Ghias et al., 2023; Galaniha et al., 2023). Taste alterations are highly prevalent among people receiving cancer treatment and can meaningfully affect food selection and intake adequacy, particularly when patients begin avoiding protein-rich foods or develop aversions to odors and textures (Galaniha et al., 2023; Ghias et al., 2023). Over time, suboptimal intake in the context of treatment-related stressors can accelerate weight loss and lean body mass depletion, increasing malnutrition risk and weakening resilience during ongoing therapy (Ni et al., 2020). </w:t>
      </w:r>
    </w:p>
    <w:p w14:paraId="2413A2CD" w14:textId="747C43EA" w:rsidR="00FB6AB3" w:rsidRPr="00FB6AB3" w:rsidRDefault="00FB6AB3" w:rsidP="00FB6AB3">
      <w:r w:rsidRPr="00FB6AB3">
        <w:lastRenderedPageBreak/>
        <w:t xml:space="preserve">When thoracic/mediastinal radiation is used in lung cancer, radiation-induced esophagitis is a common, dose-limiting toxicity. Esophageal mucosal injury and inflammation typically present during treatment with dysphagia and odynophagia, which may lead to reduced intake, avoidance of solid foods, and preference for softer, lower-volume options (Baker et al., 2016; Wu et al., 2025). In clinical practice, significant odynophagia may also contribute to treatment interruptions or reduced tolerance if symptoms are not adequately managed, reinforcing the importance of early, symptom-directed nutrition strategies (Wu et al., 2025). </w:t>
      </w:r>
    </w:p>
    <w:p w14:paraId="20595935" w14:textId="04536ACD" w:rsidR="00FB6AB3" w:rsidRPr="00FB6AB3" w:rsidRDefault="00FB6AB3" w:rsidP="00FB6AB3">
      <w:r w:rsidRPr="00FB6AB3">
        <w:t>Severe peripheral arterial disease (PAD)</w:t>
      </w:r>
      <w:r w:rsidR="00A451E4">
        <w:t xml:space="preserve"> </w:t>
      </w:r>
      <w:r w:rsidRPr="00FB6AB3">
        <w:t>particularly when associated with chronic limb-threatening ischemia</w:t>
      </w:r>
      <w:r w:rsidR="00A451E4">
        <w:t xml:space="preserve"> </w:t>
      </w:r>
      <w:r w:rsidRPr="00FB6AB3">
        <w:t xml:space="preserve">contributes to ischemic pain, reduced mobility, and impaired quality of life, all of which can indirectly lower intake by limiting grocery access, meal preparation, and overall functional capacity (Leelathanalerk et al., 2024). Malnutrition is also clinically relevant in PAD populations because pre-existing malnutrition risk has been associated with worse outcomes among patients undergoing PAD interventions, supporting routine nutrition screening and early nutrition optimization when feasible (Rodighiero et al., 2022). In symptomatic PAD, malnutrition risk has additionally been linked with poorer functional capacity and lower-limb strength, suggesting a bidirectional relationship between nutrition status and physical function (Carvalho et al., 2022). </w:t>
      </w:r>
    </w:p>
    <w:p w14:paraId="45DA8AC7" w14:textId="7AC2C68D" w:rsidR="00262004" w:rsidRPr="00263DFA" w:rsidRDefault="00FB6AB3" w:rsidP="00263DFA">
      <w:r w:rsidRPr="00FB6AB3">
        <w:t xml:space="preserve">Comorbid COPD and active smoking may further contribute to a negative energy balance. COPD is often associated with increased resting energy expenditure and a higher energy cost of breathing, which can raise energy needs while simultaneously decreasing intake due to dyspnea during meals, fatigue, and reduced appetite (Rawal &amp; Yadav, 2015). Elevated resting energy expenditure has been documented in stable COPD cohorts, and when combined with insufficient intake, this can contribute to loss of fat-free mass and reduced functional reserve </w:t>
      </w:r>
      <w:r w:rsidRPr="00FB6AB3">
        <w:lastRenderedPageBreak/>
        <w:t>(Schols et al., 1991; Baarends et al., 1997). Finally, symptom burden from severe pain and medication effects can add additional barriers to intake; for example, opioid analgesics commonly worsen constipation and may contribute to appetite suppression, reinforcing the need for coordinated symptom management to support adequate nutrition intake during hospitalization and after discharge.</w:t>
      </w:r>
    </w:p>
    <w:p w14:paraId="6C0AC06B" w14:textId="4D88F7D4" w:rsidR="00262004" w:rsidRDefault="00262004" w:rsidP="00262004">
      <w:pPr>
        <w:spacing w:before="120"/>
      </w:pPr>
      <w:r>
        <w:rPr>
          <w:b/>
        </w:rPr>
        <w:t>Nutritional Indicators</w:t>
      </w:r>
      <w:r w:rsidR="00BD6C15">
        <w:rPr>
          <w:b/>
        </w:rPr>
        <w:t xml:space="preserve"> </w:t>
      </w:r>
    </w:p>
    <w:p w14:paraId="23FC9318" w14:textId="7D153AC8" w:rsidR="00CB3B8D" w:rsidRPr="00CB3B8D" w:rsidRDefault="00CB3B8D" w:rsidP="00CB3B8D">
      <w:r>
        <w:t>The Patient</w:t>
      </w:r>
      <w:r w:rsidRPr="00CB3B8D">
        <w:t xml:space="preserve"> undergoing active chemotherapy for non</w:t>
      </w:r>
      <w:r>
        <w:t>-s</w:t>
      </w:r>
      <w:r w:rsidRPr="00CB3B8D">
        <w:t>mall cell lung cancer with reported loss of appetite and low energy, which are common nutrition-impact symptoms during cancer treatment. Reduced oral intake during chemotherapy can quickly lead to negative energy and protein balance, loss of lean body mass, and worsening functional status</w:t>
      </w:r>
      <w:r>
        <w:t xml:space="preserve"> </w:t>
      </w:r>
      <w:r w:rsidRPr="00CB3B8D">
        <w:t xml:space="preserve">especially in older adults and those with multiple comorbidities. Clinical nutrition guidelines in oncology emphasize early nutrition assessment and intervention (before severe weight loss occurs) because malnutrition in cancer is associated with poorer tolerance to treatment and worse outcomes (Muscaritoli et al., 2021). In </w:t>
      </w:r>
      <w:r>
        <w:t>this</w:t>
      </w:r>
      <w:r w:rsidRPr="00CB3B8D">
        <w:t xml:space="preserve"> case, fatigue and appetite reduction may reduce meal frequency and portion size, increasing risk for inadequate intake and progressive malnutrition.</w:t>
      </w:r>
    </w:p>
    <w:p w14:paraId="2BA3D4D7" w14:textId="5DCB17F3" w:rsidR="00CB3B8D" w:rsidRPr="00CB3B8D" w:rsidRDefault="00CB3B8D" w:rsidP="00CB3B8D">
      <w:r w:rsidRPr="00CB3B8D">
        <w:t xml:space="preserve">In addition, </w:t>
      </w:r>
      <w:r>
        <w:t xml:space="preserve">her </w:t>
      </w:r>
      <w:r w:rsidRPr="00CB3B8D">
        <w:t xml:space="preserve">history of COPD/pulmonary fibrosis and current smoking further elevates nutrition risk. COPD can increase the work of breathing and energy expenditure, and patients with more severe disease are at higher risk of weight loss and malnutrition, which is linked to poorer prognosis and reduced quality of life (Global Initiative for Chronic Obstructive Lung Disease [GOLD], 2025). Her severe chronic peripheral arterial disease (PAD) with cyanosis and rest pain can also limit mobility and daily function, which can reduce the ability to shop, cook, and eat adequately. Pain and systemic inflammatory stress may further suppress appetite and </w:t>
      </w:r>
      <w:r w:rsidRPr="00CB3B8D">
        <w:lastRenderedPageBreak/>
        <w:t>accelerate catabolism, reinforcing the need for careful monitoring of intake and weight trends (Muscaritoli et al., 2021).</w:t>
      </w:r>
    </w:p>
    <w:p w14:paraId="4728FCC5" w14:textId="1F78B192" w:rsidR="00CB3B8D" w:rsidRPr="00CB3B8D" w:rsidRDefault="00CB3B8D" w:rsidP="00CB3B8D">
      <w:r w:rsidRPr="00CB3B8D">
        <w:t xml:space="preserve">From a biochemical perspective, several labs are relevant to nutrition status and clinical risk. </w:t>
      </w:r>
      <w:r>
        <w:t xml:space="preserve">Her </w:t>
      </w:r>
      <w:r w:rsidRPr="00CB3B8D">
        <w:t>WBC of 12.40 suggests an elevated inflammatory burden, which is important because malnutrition frameworks emphasize that inflammation can contribute to malnutrition even when intake reduction is modest (White et al., 2012). Her hemoglobin 10.5 and hematocrit 30.7 indicate anemia, which is consistent with fatigue and may further impair appetite and functional capacity. She also demonstrates electrolyte abnormalities (potassium 3.0; magnesium 1.6), both of which can be worsened by poor intake and can contribute to weakness and clinical instability</w:t>
      </w:r>
      <w:r>
        <w:t xml:space="preserve"> </w:t>
      </w:r>
      <w:r w:rsidRPr="00CB3B8D">
        <w:t>supporting the need for electrolyte repletion and dietary follow-up once oral intake is feasible. Finally, to formally evaluate malnutrition severity, additional indicators should be obtained</w:t>
      </w:r>
      <w:r>
        <w:t xml:space="preserve"> </w:t>
      </w:r>
      <w:r w:rsidRPr="00CB3B8D">
        <w:t>especially current weight, usual body weight, percent weight change, BMI, and a nutrition-focused physical exam (NFPE)</w:t>
      </w:r>
      <w:r>
        <w:t xml:space="preserve"> </w:t>
      </w:r>
      <w:r w:rsidRPr="00CB3B8D">
        <w:t>because standardized malnutrition diagnosis requires documented characteristics such as insufficient intake, weight loss, and loss of muscle/fat mass, along with etiologic factors such as disease burden/inflammation (Cederholm et al., 2019; White et al., 2012).</w:t>
      </w:r>
    </w:p>
    <w:p w14:paraId="227E5B96" w14:textId="2DE3779D" w:rsidR="005833F3" w:rsidRPr="005833F3" w:rsidRDefault="0034278B" w:rsidP="005833F3">
      <w:r>
        <w:rPr>
          <w:b/>
        </w:rPr>
        <w:t>Patient History</w:t>
      </w:r>
      <w:r w:rsidR="005833F3">
        <w:rPr>
          <w:b/>
        </w:rPr>
        <w:br/>
      </w:r>
      <w:r w:rsidR="005833F3">
        <w:t xml:space="preserve">this Patient’s </w:t>
      </w:r>
      <w:r w:rsidR="005833F3" w:rsidRPr="005833F3">
        <w:t>social history is notable for current daily cigarette smoking with a long-term smoking history. She reports no current alcohol or illicit drug use, which reduces some nutrition-related risks but her ongoing tobacco use remains an important factor for overall health and recovery.</w:t>
      </w:r>
    </w:p>
    <w:p w14:paraId="648C45A8" w14:textId="4922AC21" w:rsidR="005833F3" w:rsidRPr="005833F3" w:rsidRDefault="005833F3" w:rsidP="005833F3">
      <w:r w:rsidRPr="005833F3">
        <w:t xml:space="preserve">In terms of living situation and support, </w:t>
      </w:r>
      <w:r>
        <w:t>she</w:t>
      </w:r>
      <w:r w:rsidRPr="005833F3">
        <w:t xml:space="preserve"> has several resources that influence her ability to obtain and prepare food. Her brother helps with grocery shopping, and a housekeeper </w:t>
      </w:r>
      <w:r w:rsidRPr="005833F3">
        <w:lastRenderedPageBreak/>
        <w:t>assists with meal preparation once per week. In addition, home-delivered meals (Mom’s Meals) have recently been arranged, which may improve food access and consistency of intake if she is able to tolerate the meals.</w:t>
      </w:r>
    </w:p>
    <w:p w14:paraId="745938C3" w14:textId="7F690D52" w:rsidR="005833F3" w:rsidRPr="005833F3" w:rsidRDefault="005833F3" w:rsidP="005833F3">
      <w:r>
        <w:t>She</w:t>
      </w:r>
      <w:r w:rsidRPr="005833F3">
        <w:t xml:space="preserve"> is a retired oncology nurse, suggesting high health literacy and a strong awareness of chemotherapy-related side effects. This background may support effective nutrition education and shared decision-making, as she is likely familiar with symptom management strategies and the importance of maintaining intake during treatment.</w:t>
      </w:r>
    </w:p>
    <w:p w14:paraId="1DE37EE9" w14:textId="7C54ED01" w:rsidR="005833F3" w:rsidRPr="005833F3" w:rsidRDefault="005833F3" w:rsidP="005833F3">
      <w:r w:rsidRPr="005833F3">
        <w:t>Her gastrointestinal history includes colitis, and she reports painful swallowing of food and sometimes liquids (but not saliva), which is consistent with suspected esophagitis. Outpatient documentation also notes nausea and vomiting</w:t>
      </w:r>
      <w:r>
        <w:t xml:space="preserve"> sometimes</w:t>
      </w:r>
      <w:r w:rsidRPr="005833F3">
        <w:t>, both of which can significantly limit oral intake and contribute to inadequate energy and protein consumption.</w:t>
      </w:r>
    </w:p>
    <w:p w14:paraId="3B88840A" w14:textId="6BC84A98" w:rsidR="005833F3" w:rsidRPr="005833F3" w:rsidRDefault="005833F3" w:rsidP="005833F3">
      <w:r w:rsidRPr="005833F3">
        <w:t xml:space="preserve">Regarding food patterns, </w:t>
      </w:r>
      <w:r>
        <w:t>this patient</w:t>
      </w:r>
      <w:r w:rsidRPr="005833F3">
        <w:t xml:space="preserve"> typically eats one meal per day, usually between 2:00–4:00 PM. Her usual intake appears energy-dense but limited in variety, consisting mainly of frozen pasta dishes and fast-food-style meals such as </w:t>
      </w:r>
      <w:r>
        <w:t xml:space="preserve">frozen meal of spaghetti with meat sauce, or </w:t>
      </w:r>
      <w:r w:rsidR="00136908">
        <w:t xml:space="preserve">a noodle dish, tuna noodle casserole, or beef with gravy over noodles, </w:t>
      </w:r>
      <w:r w:rsidRPr="005833F3">
        <w:t>along with frequent soda and coffee. This pattern raises concern for insufficient overall intake</w:t>
      </w:r>
      <w:r w:rsidR="00136908">
        <w:t xml:space="preserve"> </w:t>
      </w:r>
      <w:r w:rsidRPr="005833F3">
        <w:t>especially protein and micronutrients</w:t>
      </w:r>
      <w:r w:rsidR="00136908">
        <w:t xml:space="preserve"> </w:t>
      </w:r>
      <w:r w:rsidRPr="005833F3">
        <w:t xml:space="preserve">during </w:t>
      </w:r>
      <w:r w:rsidR="00136908" w:rsidRPr="005833F3">
        <w:t>chemotherapy and</w:t>
      </w:r>
      <w:r w:rsidRPr="005833F3">
        <w:t xml:space="preserve"> suggests a need for individualized strategies to increase meal frequency, improve nutrient density, and accommodate swallowing discomfort.</w:t>
      </w:r>
    </w:p>
    <w:p w14:paraId="3091E312" w14:textId="7F3E53D6" w:rsidR="0034278B" w:rsidRDefault="0034278B" w:rsidP="005833F3"/>
    <w:p w14:paraId="79BE7AAC" w14:textId="77777777" w:rsidR="00136908" w:rsidRDefault="00136908" w:rsidP="005833F3"/>
    <w:p w14:paraId="70C0F78D" w14:textId="77777777" w:rsidR="00263DFA" w:rsidRDefault="00263DFA" w:rsidP="005833F3"/>
    <w:p w14:paraId="4CBC44FD" w14:textId="77777777" w:rsidR="00263DFA" w:rsidRDefault="00263DFA" w:rsidP="005833F3"/>
    <w:p w14:paraId="7292141A" w14:textId="77777777" w:rsidR="00136908" w:rsidRPr="005833F3" w:rsidRDefault="00136908" w:rsidP="005833F3"/>
    <w:p w14:paraId="3B51D3E2" w14:textId="77777777" w:rsidR="0034278B" w:rsidRDefault="0034278B" w:rsidP="0034278B">
      <w:pPr>
        <w:spacing w:before="120"/>
      </w:pPr>
      <w:r>
        <w:rPr>
          <w:b/>
        </w:rPr>
        <w:lastRenderedPageBreak/>
        <w:t>Nutrition Assessment</w:t>
      </w:r>
    </w:p>
    <w:p w14:paraId="4D3A47CA" w14:textId="77777777" w:rsidR="0034278B" w:rsidRDefault="0034278B" w:rsidP="0034278B">
      <w:pPr>
        <w:spacing w:before="120"/>
      </w:pPr>
      <w:r>
        <w:rPr>
          <w:b/>
        </w:rPr>
        <w:t>Anthropometrics and Biochemical Data</w:t>
      </w:r>
    </w:p>
    <w:p w14:paraId="4FE0DD2F" w14:textId="58CE7274" w:rsidR="0034278B" w:rsidRDefault="0034278B" w:rsidP="0034278B">
      <w:r>
        <w:t xml:space="preserve">Weight history (outpatient records) demonstrated a downward trend: 107 </w:t>
      </w:r>
      <w:proofErr w:type="spellStart"/>
      <w:r>
        <w:t>lb</w:t>
      </w:r>
      <w:proofErr w:type="spellEnd"/>
      <w:r>
        <w:t xml:space="preserve"> (10/2/2024), 102 </w:t>
      </w:r>
      <w:proofErr w:type="spellStart"/>
      <w:r>
        <w:t>lb</w:t>
      </w:r>
      <w:proofErr w:type="spellEnd"/>
      <w:r>
        <w:t xml:space="preserve"> (5/13/2025), 102 </w:t>
      </w:r>
      <w:proofErr w:type="spellStart"/>
      <w:r>
        <w:t>lb</w:t>
      </w:r>
      <w:proofErr w:type="spellEnd"/>
      <w:r>
        <w:t xml:space="preserve"> (10/14/2025), 100 </w:t>
      </w:r>
      <w:proofErr w:type="spellStart"/>
      <w:r>
        <w:t>lb</w:t>
      </w:r>
      <w:proofErr w:type="spellEnd"/>
      <w:r>
        <w:t xml:space="preserve"> (11/19/2025), 103 </w:t>
      </w:r>
      <w:proofErr w:type="spellStart"/>
      <w:r>
        <w:t>lb</w:t>
      </w:r>
      <w:proofErr w:type="spellEnd"/>
      <w:r>
        <w:t xml:space="preserve"> (12/2/2025), 101 </w:t>
      </w:r>
      <w:proofErr w:type="spellStart"/>
      <w:r>
        <w:t>lb</w:t>
      </w:r>
      <w:proofErr w:type="spellEnd"/>
      <w:r>
        <w:t xml:space="preserve"> (1/5/2026), 101 </w:t>
      </w:r>
      <w:proofErr w:type="spellStart"/>
      <w:r>
        <w:t>lb</w:t>
      </w:r>
      <w:proofErr w:type="spellEnd"/>
      <w:r>
        <w:t xml:space="preserve"> (1/15/2026</w:t>
      </w:r>
      <w:r w:rsidR="00750A96">
        <w:t>), 98</w:t>
      </w:r>
      <w:r>
        <w:t xml:space="preserve"> </w:t>
      </w:r>
      <w:proofErr w:type="spellStart"/>
      <w:r>
        <w:t>lb</w:t>
      </w:r>
      <w:proofErr w:type="spellEnd"/>
      <w:r>
        <w:t xml:space="preserve"> (1/22/2026)</w:t>
      </w:r>
      <w:r w:rsidR="00954D0F">
        <w:t xml:space="preserve">, and 99 </w:t>
      </w:r>
      <w:proofErr w:type="spellStart"/>
      <w:r w:rsidR="00954D0F">
        <w:t>lb</w:t>
      </w:r>
      <w:proofErr w:type="spellEnd"/>
      <w:r w:rsidR="00954D0F">
        <w:t xml:space="preserve"> (2/1/2026)</w:t>
      </w:r>
      <w:r>
        <w:t xml:space="preserve">. The most recent change represents an approximate 3% loss over one </w:t>
      </w:r>
      <w:r w:rsidR="00750A96">
        <w:t>week (</w:t>
      </w:r>
      <w:r>
        <w:t xml:space="preserve">101 </w:t>
      </w:r>
      <w:proofErr w:type="spellStart"/>
      <w:r>
        <w:t>lb</w:t>
      </w:r>
      <w:proofErr w:type="spellEnd"/>
      <w:r>
        <w:t xml:space="preserve"> to 98 </w:t>
      </w:r>
      <w:proofErr w:type="spellStart"/>
      <w:r>
        <w:t>lb</w:t>
      </w:r>
      <w:proofErr w:type="spellEnd"/>
      <w:r>
        <w:t>)</w:t>
      </w:r>
      <w:r w:rsidR="00954D0F">
        <w:t xml:space="preserve"> since 1/15/2026</w:t>
      </w:r>
      <w:r>
        <w:t>, which is clinically significant. An inpatient weight was documented as approximately 9</w:t>
      </w:r>
      <w:r w:rsidR="00954D0F">
        <w:t>9</w:t>
      </w:r>
      <w:r>
        <w:t xml:space="preserve"> </w:t>
      </w:r>
      <w:proofErr w:type="spellStart"/>
      <w:r>
        <w:t>lb</w:t>
      </w:r>
      <w:proofErr w:type="spellEnd"/>
      <w:r>
        <w:t xml:space="preserve"> </w:t>
      </w:r>
      <w:r w:rsidR="00954D0F">
        <w:t>12</w:t>
      </w:r>
      <w:r>
        <w:t>.</w:t>
      </w:r>
      <w:r w:rsidR="00954D0F">
        <w:t>8</w:t>
      </w:r>
      <w:r>
        <w:t xml:space="preserve"> oz (4</w:t>
      </w:r>
      <w:r w:rsidR="00954D0F">
        <w:t>5</w:t>
      </w:r>
      <w:r>
        <w:t>.</w:t>
      </w:r>
      <w:r w:rsidR="00954D0F">
        <w:t>3</w:t>
      </w:r>
      <w:r>
        <w:t>kg)</w:t>
      </w:r>
      <w:r w:rsidR="00954D0F">
        <w:t xml:space="preserve"> (2/1/2026)</w:t>
      </w:r>
      <w:r>
        <w:t xml:space="preserve">. Height </w:t>
      </w:r>
      <w:r w:rsidR="00750A96">
        <w:t>is</w:t>
      </w:r>
      <w:r w:rsidR="00750A96" w:rsidRPr="00750A96">
        <w:t xml:space="preserve"> </w:t>
      </w:r>
      <w:r w:rsidR="00463ACE">
        <w:t>5’5.5 (166.4 cm)</w:t>
      </w:r>
      <w:r w:rsidR="00750A96" w:rsidRPr="00750A96">
        <w:t xml:space="preserve"> </w:t>
      </w:r>
      <w:r w:rsidR="00750A96">
        <w:t>BMI</w:t>
      </w:r>
      <w:r>
        <w:t xml:space="preserve"> </w:t>
      </w:r>
      <w:r w:rsidR="00750A96">
        <w:t>is 16.36 kg /m</w:t>
      </w:r>
      <w:r w:rsidR="00750A96" w:rsidRPr="00750A96">
        <w:t>2</w:t>
      </w:r>
      <w:r w:rsidR="00750A96">
        <w:t>.</w:t>
      </w:r>
    </w:p>
    <w:p w14:paraId="009234E3" w14:textId="77777777" w:rsidR="0034278B" w:rsidRDefault="0034278B" w:rsidP="0034278B">
      <w:r>
        <w:t>Pertinent admission laboratory values included: WBC 12.40 K/µL, hemoglobin 10.5 g/dL, hematocrit 30.7%, platelets 230 K/µL, sodium 137 mmol/L, potassium 3.0 mmol/L, BUN 14 mg/dL, creatinine 0.50 mg/dL, magnesium 1.6 mg/dL, AST 23 U/L, ALT 11 U/L, total bilirubin 0.20 mg/dL, and troponin negative. Electrolyte abnormalities were addressed with repletion.</w:t>
      </w:r>
    </w:p>
    <w:p w14:paraId="04038FA8" w14:textId="77777777" w:rsidR="0034278B" w:rsidRDefault="0034278B" w:rsidP="0034278B">
      <w:pPr>
        <w:spacing w:before="120"/>
      </w:pPr>
      <w:r>
        <w:rPr>
          <w:b/>
        </w:rPr>
        <w:t>Nutrition-Focused Physical Exam</w:t>
      </w:r>
    </w:p>
    <w:p w14:paraId="17AAD370" w14:textId="77777777" w:rsidR="0034278B" w:rsidRDefault="0034278B" w:rsidP="0034278B">
      <w:r>
        <w:t>NFPE findings were consistent with moderate malnutrition, including moderate fat wasting (orbital, triceps, thoracic) and moderate muscle wasting (temples, clavicles, shoulders, dorsal/interosseous, scapula/trapezius, thigh, and calf).</w:t>
      </w:r>
    </w:p>
    <w:p w14:paraId="0F7E1F88" w14:textId="77777777" w:rsidR="0034278B" w:rsidRDefault="0034278B" w:rsidP="0034278B">
      <w:pPr>
        <w:spacing w:before="120"/>
      </w:pPr>
      <w:r>
        <w:rPr>
          <w:b/>
        </w:rPr>
        <w:t>Food and Nutrition History</w:t>
      </w:r>
    </w:p>
    <w:p w14:paraId="748C6A33" w14:textId="1068C3E9" w:rsidR="0034278B" w:rsidRDefault="0034278B" w:rsidP="0034278B">
      <w:r>
        <w:t xml:space="preserve">Prior to admission, the patient reported consuming one meal per day, typically a frozen spaghetti entrée with meat sauce or noodle-based casseroles prepared by a housekeeper, or one to two hamburgers with fries. Snacks included chips, and baked goods, with beverages primarily coffee and soda. The patient had oral nutrition supplements (Premier Protein and </w:t>
      </w:r>
      <w:proofErr w:type="spellStart"/>
      <w:r>
        <w:t>Rockin</w:t>
      </w:r>
      <w:proofErr w:type="spellEnd"/>
      <w:r>
        <w:t xml:space="preserve">’ Protein Builder shakes) available at home and reported liking the taste; however, adherence was </w:t>
      </w:r>
      <w:r>
        <w:lastRenderedPageBreak/>
        <w:t>inconsistent despite attempts to use reminder notes. Concern for radiation-related esophagitis was noted, and a feeding tube had been discussed by radiation oncology, although the patient expressed reluctance.</w:t>
      </w:r>
    </w:p>
    <w:p w14:paraId="49D31B27" w14:textId="4F8CBC03" w:rsidR="0034278B" w:rsidRDefault="0034278B" w:rsidP="0034278B">
      <w:r>
        <w:t xml:space="preserve">During this hospitalization, the patient reported improved intake when meals were readily available. </w:t>
      </w:r>
      <w:r w:rsidR="003A61C8">
        <w:t>As an intern student my first visit after admission was in (1/27/2026) t</w:t>
      </w:r>
      <w:r>
        <w:t>he patient consumed most of breakfast (omelet with pepper and cheese plus a side) and at lunch consumed approximately 25% of mac and cheese, 100% of ice cream, 100% of corn, and approximately 70% of applesauce.</w:t>
      </w:r>
    </w:p>
    <w:p w14:paraId="42C5898D" w14:textId="77777777" w:rsidR="0034278B" w:rsidRDefault="0034278B" w:rsidP="0034278B">
      <w:pPr>
        <w:spacing w:before="120"/>
      </w:pPr>
      <w:r>
        <w:rPr>
          <w:b/>
        </w:rPr>
        <w:t>Estimated Nutrient Needs</w:t>
      </w:r>
    </w:p>
    <w:p w14:paraId="2F3AACA8" w14:textId="2F0B30B6" w:rsidR="0034278B" w:rsidRDefault="00FF015F" w:rsidP="0034278B">
      <w:pPr>
        <w:rPr>
          <w:rtl/>
        </w:rPr>
      </w:pPr>
      <w:r>
        <w:t xml:space="preserve">After my </w:t>
      </w:r>
      <w:r w:rsidR="00463ACE">
        <w:t>last</w:t>
      </w:r>
      <w:r>
        <w:t xml:space="preserve"> visit to the </w:t>
      </w:r>
      <w:r w:rsidR="00A25D28">
        <w:t>patient,</w:t>
      </w:r>
      <w:r w:rsidR="00463ACE">
        <w:t xml:space="preserve"> (2/6/2026)</w:t>
      </w:r>
      <w:r>
        <w:t xml:space="preserve"> I did </w:t>
      </w:r>
      <w:r w:rsidR="00463ACE">
        <w:t>estimate</w:t>
      </w:r>
      <w:r w:rsidR="0034278B">
        <w:t xml:space="preserve"> needs </w:t>
      </w:r>
      <w:r>
        <w:t>calculations</w:t>
      </w:r>
      <w:r w:rsidR="0034278B">
        <w:t xml:space="preserve"> using a reference weight of </w:t>
      </w:r>
      <w:r>
        <w:t>45.3</w:t>
      </w:r>
      <w:r w:rsidR="0034278B">
        <w:t>kg (</w:t>
      </w:r>
      <w:r>
        <w:t>99</w:t>
      </w:r>
      <w:r w:rsidR="0034278B">
        <w:t xml:space="preserve"> </w:t>
      </w:r>
      <w:proofErr w:type="spellStart"/>
      <w:r w:rsidR="0034278B">
        <w:t>lb</w:t>
      </w:r>
      <w:proofErr w:type="spellEnd"/>
      <w:r>
        <w:t xml:space="preserve"> 1.6 oz</w:t>
      </w:r>
      <w:r w:rsidR="0034278B">
        <w:t xml:space="preserve">) consistent with prior dietitian documentation. Energy needs were estimated at approximately </w:t>
      </w:r>
      <w:r>
        <w:t>1585</w:t>
      </w:r>
      <w:r w:rsidR="0034278B">
        <w:t xml:space="preserve"> kcal/day (35 kcal/kg). Protein needs were estimated at </w:t>
      </w:r>
      <w:r>
        <w:t>54.36</w:t>
      </w:r>
      <w:r w:rsidR="0034278B">
        <w:t>–</w:t>
      </w:r>
      <w:r>
        <w:t>67.95</w:t>
      </w:r>
      <w:r w:rsidR="0034278B">
        <w:t xml:space="preserve">g/day (1.2–1.5 g/kg) to support maintenance of lean body mass during cancer therapy and acute illness. Fluid needs were estimated at approximately </w:t>
      </w:r>
      <w:r w:rsidR="006A3EB0">
        <w:t>1585</w:t>
      </w:r>
      <w:r w:rsidR="0034278B">
        <w:t xml:space="preserve"> mL/day (1 mL/kcal), with adjustment based on clinical status and hemodynamics.</w:t>
      </w:r>
    </w:p>
    <w:p w14:paraId="78FE78FA" w14:textId="77777777" w:rsidR="0034278B" w:rsidRDefault="0034278B" w:rsidP="0034278B">
      <w:pPr>
        <w:spacing w:before="120"/>
      </w:pPr>
      <w:r>
        <w:rPr>
          <w:b/>
        </w:rPr>
        <w:t>Nutrition Diagnoses</w:t>
      </w:r>
    </w:p>
    <w:p w14:paraId="557407C1" w14:textId="77777777" w:rsidR="0034278B" w:rsidRDefault="0034278B" w:rsidP="0034278B">
      <w:r>
        <w:t>Based on the comprehensive nutrition assessment, the following nutrition diagnoses were identified:</w:t>
      </w:r>
    </w:p>
    <w:p w14:paraId="5F5A5765" w14:textId="77777777" w:rsidR="0034278B" w:rsidRDefault="0034278B" w:rsidP="0034278B">
      <w:pPr>
        <w:pStyle w:val="ListBullet"/>
        <w:tabs>
          <w:tab w:val="clear" w:pos="1080"/>
          <w:tab w:val="num" w:pos="360"/>
        </w:tabs>
        <w:ind w:left="360"/>
      </w:pPr>
      <w:r>
        <w:t>Moderate malnutrition related to physiological causes resulting in diminished intake as evidenced by estimated energy intake &lt;50% for &gt;5 days, moderate muscle wasting, and moderate fat wasting (NI-5.2).</w:t>
      </w:r>
    </w:p>
    <w:p w14:paraId="27D7A731" w14:textId="77777777" w:rsidR="0034278B" w:rsidRDefault="0034278B" w:rsidP="0034278B">
      <w:pPr>
        <w:pStyle w:val="ListBullet"/>
        <w:tabs>
          <w:tab w:val="clear" w:pos="1080"/>
          <w:tab w:val="num" w:pos="360"/>
        </w:tabs>
        <w:ind w:left="360"/>
      </w:pPr>
      <w:r>
        <w:lastRenderedPageBreak/>
        <w:t>Inadequate energy intake related to poor appetite, fatigue, and painful swallowing as evidenced by habitual intake of approximately one meal per day and recent severe short-term weight loss.</w:t>
      </w:r>
    </w:p>
    <w:p w14:paraId="1735D30D" w14:textId="77777777" w:rsidR="0034278B" w:rsidRDefault="0034278B" w:rsidP="0034278B">
      <w:pPr>
        <w:pStyle w:val="ListBullet"/>
        <w:tabs>
          <w:tab w:val="clear" w:pos="1080"/>
          <w:tab w:val="num" w:pos="360"/>
        </w:tabs>
        <w:ind w:left="360"/>
      </w:pPr>
      <w:r>
        <w:t>Increased energy expenditure related to chronic illness as evidenced by metastatic lung cancer on active chemotherapy/radiation therapy with documented weight loss and wasting.</w:t>
      </w:r>
    </w:p>
    <w:p w14:paraId="06EE61CF" w14:textId="77777777" w:rsidR="0034278B" w:rsidRDefault="0034278B" w:rsidP="0034278B">
      <w:pPr>
        <w:spacing w:before="120"/>
      </w:pPr>
      <w:r>
        <w:rPr>
          <w:b/>
        </w:rPr>
        <w:t>Nutrition Interventions</w:t>
      </w:r>
    </w:p>
    <w:p w14:paraId="022AEBA3" w14:textId="6B67FB68" w:rsidR="0034278B" w:rsidRDefault="0034278B" w:rsidP="0034278B">
      <w:r>
        <w:t>The nutrition care plan prioritized improving oral intake to meet at least 75% of estimated energy and protein needs while addressing symptoms limiting intake. Interventions</w:t>
      </w:r>
      <w:r w:rsidR="00463ACE">
        <w:t xml:space="preserve"> in my 4 visits to the patient during her hospital stay</w:t>
      </w:r>
      <w:r>
        <w:t xml:space="preserve"> included continuation of a regular diet with high-calorie/high-protein food choices and implementation of a structured meal pattern (three meals and two snacks as tolerated). Oral nutrition supplements were recommended at least once daily (Premier Protein or equivalent)</w:t>
      </w:r>
      <w:r w:rsidR="00463ACE">
        <w:t xml:space="preserve"> or even homemade protein shake as preferred by the patient</w:t>
      </w:r>
      <w:r>
        <w:t>, with alternative options considered if taste fatigue occurred. Because of suspected esophagitis, soft, moist, easy-to-swallow foods were encouraged (e.g., mac and cheese, eggs, applesauce, pudding, ice cream), and the patient was advised to trial prescribed mouthwash or symptom-directed strategies prior to meals when pain was present. Coordination with nursing and the medical team was recommended to optimize timing of pain management relative to meals and to monitor constipation risk given opioid use.</w:t>
      </w:r>
    </w:p>
    <w:p w14:paraId="439E90D9" w14:textId="05934018" w:rsidR="0034278B" w:rsidRDefault="0034278B" w:rsidP="0034278B">
      <w:pPr>
        <w:pStyle w:val="ListBullet"/>
        <w:tabs>
          <w:tab w:val="clear" w:pos="1080"/>
          <w:tab w:val="num" w:pos="360"/>
        </w:tabs>
        <w:ind w:left="360"/>
      </w:pPr>
      <w:r>
        <w:t>Diet order: Regular diet with emphasis on high-calorie/high-protein selections.</w:t>
      </w:r>
      <w:r w:rsidR="00463ACE">
        <w:t xml:space="preserve"> This diet was </w:t>
      </w:r>
      <w:proofErr w:type="spellStart"/>
      <w:r w:rsidR="00463ACE">
        <w:t>chaged</w:t>
      </w:r>
      <w:proofErr w:type="spellEnd"/>
      <w:r w:rsidR="00463ACE">
        <w:t xml:space="preserve"> during my last visit </w:t>
      </w:r>
      <w:proofErr w:type="gramStart"/>
      <w:r w:rsidR="00463ACE">
        <w:t xml:space="preserve">( </w:t>
      </w:r>
      <w:r w:rsidR="001603AD">
        <w:t>2</w:t>
      </w:r>
      <w:proofErr w:type="gramEnd"/>
      <w:r w:rsidR="001603AD">
        <w:t xml:space="preserve">/6/2026) to NPO after midnight preparing for Vascular surgery for the right leg on 2/7/2026. </w:t>
      </w:r>
    </w:p>
    <w:p w14:paraId="3527BD5C" w14:textId="79BEE52A" w:rsidR="0034278B" w:rsidRDefault="0034278B" w:rsidP="0034278B">
      <w:pPr>
        <w:pStyle w:val="ListBullet"/>
        <w:tabs>
          <w:tab w:val="clear" w:pos="1080"/>
          <w:tab w:val="num" w:pos="360"/>
        </w:tabs>
        <w:ind w:left="360"/>
      </w:pPr>
      <w:r>
        <w:t>ONS: Protein shake at least 1x/day; increase frequency as tolerated.</w:t>
      </w:r>
      <w:r w:rsidR="001603AD">
        <w:t xml:space="preserve"> (</w:t>
      </w:r>
      <w:proofErr w:type="spellStart"/>
      <w:r w:rsidR="001603AD">
        <w:t>home made</w:t>
      </w:r>
      <w:proofErr w:type="spellEnd"/>
      <w:r w:rsidR="001603AD">
        <w:t xml:space="preserve"> preferred)</w:t>
      </w:r>
    </w:p>
    <w:p w14:paraId="50984BD0" w14:textId="77777777" w:rsidR="0034278B" w:rsidRDefault="0034278B" w:rsidP="0034278B">
      <w:pPr>
        <w:pStyle w:val="ListBullet"/>
        <w:tabs>
          <w:tab w:val="clear" w:pos="1080"/>
          <w:tab w:val="num" w:pos="360"/>
        </w:tabs>
        <w:ind w:left="360"/>
      </w:pPr>
      <w:r>
        <w:lastRenderedPageBreak/>
        <w:t>Snacks: Easy-to-grab options (e.g., crackers with peanut butter) offered to increase intake between meals.</w:t>
      </w:r>
    </w:p>
    <w:p w14:paraId="7DA138C9" w14:textId="77777777" w:rsidR="0034278B" w:rsidRDefault="0034278B" w:rsidP="0034278B">
      <w:pPr>
        <w:pStyle w:val="ListBullet"/>
        <w:tabs>
          <w:tab w:val="clear" w:pos="1080"/>
          <w:tab w:val="num" w:pos="360"/>
        </w:tabs>
        <w:ind w:left="360"/>
      </w:pPr>
      <w:r>
        <w:t>Education: High-calorie/high-protein recipes and comfort food options; discussion of meal reminders/timers to improve supplement adherence.</w:t>
      </w:r>
    </w:p>
    <w:p w14:paraId="2D0C6923" w14:textId="77777777" w:rsidR="0034278B" w:rsidRDefault="0034278B" w:rsidP="0034278B">
      <w:pPr>
        <w:pStyle w:val="ListBullet"/>
        <w:tabs>
          <w:tab w:val="clear" w:pos="1080"/>
          <w:tab w:val="num" w:pos="360"/>
        </w:tabs>
        <w:ind w:left="360"/>
      </w:pPr>
      <w:r>
        <w:t>Contingency: If oral intake remains inadequate or swallowing pain worsens, re-address enteral nutrition options with patient-centered education and shared decision-making.</w:t>
      </w:r>
    </w:p>
    <w:p w14:paraId="502A2FC4" w14:textId="77777777" w:rsidR="0034278B" w:rsidRDefault="0034278B" w:rsidP="0034278B">
      <w:pPr>
        <w:spacing w:before="120"/>
      </w:pPr>
      <w:r>
        <w:rPr>
          <w:b/>
        </w:rPr>
        <w:t>Monitoring and Evaluation</w:t>
      </w:r>
    </w:p>
    <w:p w14:paraId="7D775A0D" w14:textId="77777777" w:rsidR="0034278B" w:rsidRDefault="0034278B" w:rsidP="0034278B">
      <w:r>
        <w:t>Short-term goals and monitoring parameters included:</w:t>
      </w:r>
    </w:p>
    <w:p w14:paraId="66C69B7B" w14:textId="77777777" w:rsidR="0034278B" w:rsidRDefault="0034278B" w:rsidP="0034278B">
      <w:pPr>
        <w:pStyle w:val="ListBullet"/>
        <w:tabs>
          <w:tab w:val="clear" w:pos="1080"/>
          <w:tab w:val="num" w:pos="360"/>
        </w:tabs>
        <w:ind w:left="360"/>
      </w:pPr>
      <w:r>
        <w:t>Consume ≥75% of estimated energy requirements during hospitalization.</w:t>
      </w:r>
    </w:p>
    <w:p w14:paraId="6C47BA23" w14:textId="7DDFC5F2" w:rsidR="0034278B" w:rsidRDefault="0034278B" w:rsidP="0034278B">
      <w:pPr>
        <w:pStyle w:val="ListBullet"/>
        <w:tabs>
          <w:tab w:val="clear" w:pos="1080"/>
          <w:tab w:val="num" w:pos="360"/>
        </w:tabs>
        <w:ind w:left="360"/>
      </w:pPr>
      <w:r>
        <w:t>Consume at least one oral nutrition supplement daily within 48</w:t>
      </w:r>
      <w:r w:rsidR="00263DFA">
        <w:t>-</w:t>
      </w:r>
      <w:r>
        <w:t>72 hours.</w:t>
      </w:r>
    </w:p>
    <w:p w14:paraId="16BCC59B" w14:textId="77777777" w:rsidR="0034278B" w:rsidRDefault="0034278B" w:rsidP="0034278B">
      <w:pPr>
        <w:pStyle w:val="ListBullet"/>
        <w:tabs>
          <w:tab w:val="clear" w:pos="1080"/>
          <w:tab w:val="num" w:pos="360"/>
        </w:tabs>
        <w:ind w:left="360"/>
      </w:pPr>
      <w:r>
        <w:t>Monitor meal intake, supplement acceptance, and symptom burden (pain with swallowing, nausea/vomiting, constipation).</w:t>
      </w:r>
    </w:p>
    <w:p w14:paraId="62F58C92" w14:textId="6453B29D" w:rsidR="0034278B" w:rsidRDefault="0034278B" w:rsidP="001603AD">
      <w:pPr>
        <w:pStyle w:val="ListBullet"/>
        <w:tabs>
          <w:tab w:val="clear" w:pos="1080"/>
          <w:tab w:val="num" w:pos="360"/>
        </w:tabs>
        <w:ind w:left="360"/>
      </w:pPr>
      <w:r>
        <w:t>Monitor weight trend and hydration status</w:t>
      </w:r>
      <w:r w:rsidR="001603AD">
        <w:t>.</w:t>
      </w:r>
    </w:p>
    <w:p w14:paraId="011E9EE6" w14:textId="77777777" w:rsidR="0034278B" w:rsidRDefault="0034278B" w:rsidP="0034278B">
      <w:pPr>
        <w:pStyle w:val="ListBullet"/>
        <w:tabs>
          <w:tab w:val="clear" w:pos="1080"/>
          <w:tab w:val="num" w:pos="360"/>
        </w:tabs>
        <w:ind w:left="360"/>
      </w:pPr>
      <w:r>
        <w:t>Monitor electrolytes (potassium, magnesium) and adjust nutrition plan as clinically indicated.</w:t>
      </w:r>
    </w:p>
    <w:p w14:paraId="0EC29993" w14:textId="77777777" w:rsidR="0034278B" w:rsidRDefault="0034278B" w:rsidP="0034278B">
      <w:pPr>
        <w:spacing w:before="120"/>
      </w:pPr>
      <w:r>
        <w:rPr>
          <w:b/>
        </w:rPr>
        <w:t>Follow-Up</w:t>
      </w:r>
    </w:p>
    <w:p w14:paraId="46E80C91" w14:textId="1AB18A3F" w:rsidR="0082709B" w:rsidRDefault="001603AD" w:rsidP="0034278B">
      <w:r>
        <w:t xml:space="preserve">Around 4 </w:t>
      </w:r>
      <w:r w:rsidR="0034278B">
        <w:t xml:space="preserve">Follow-up </w:t>
      </w:r>
      <w:r>
        <w:t xml:space="preserve">visits during her hospital stay were obtained, those visits </w:t>
      </w:r>
      <w:r w:rsidR="0034278B">
        <w:t xml:space="preserve">focus on the patient’s ability to maintain improved intake after discharge, particularly given reliance on family support and limited meal preparation. </w:t>
      </w:r>
      <w:r>
        <w:t xml:space="preserve">In 1/27/2026 </w:t>
      </w:r>
      <w:r w:rsidR="0034278B">
        <w:t xml:space="preserve">The patient reported </w:t>
      </w:r>
      <w:r w:rsidR="0082709B">
        <w:t>God</w:t>
      </w:r>
      <w:r>
        <w:t xml:space="preserve"> food consumption during hospital </w:t>
      </w:r>
      <w:r w:rsidR="0082709B">
        <w:t>stays</w:t>
      </w:r>
      <w:r>
        <w:t xml:space="preserve">, which could be due to receiving ready meals without the need for cooking and cleaning, she had apple sauce, ice cream, mac </w:t>
      </w:r>
      <w:r w:rsidR="0082709B">
        <w:t>and</w:t>
      </w:r>
      <w:r>
        <w:t xml:space="preserve"> cheese and others. She also reported </w:t>
      </w:r>
      <w:r w:rsidR="0034278B">
        <w:t xml:space="preserve">receiving home-delivered meals but had not yet trialed them due to hospitalization. </w:t>
      </w:r>
      <w:r w:rsidR="0082709B">
        <w:br/>
        <w:t xml:space="preserve">In 2/3/2026 follow up visit she was pleasant, reported not receiving the suggested snack of peanut butter and crackers, she consumed about 75 </w:t>
      </w:r>
      <w:r w:rsidR="00263DFA">
        <w:t>-</w:t>
      </w:r>
      <w:r w:rsidR="0082709B">
        <w:t xml:space="preserve">90 % of her meals today accompanied with </w:t>
      </w:r>
      <w:r w:rsidR="0082709B">
        <w:lastRenderedPageBreak/>
        <w:t>ace water and Ginger ale, she also expressed that she did not like the taste of the protein gelatin and Magic cup at dinner. Again, she said that homemade protein shake at dinner is her favorite to try with any flavor.</w:t>
      </w:r>
    </w:p>
    <w:p w14:paraId="5A8A62D6" w14:textId="23742A40" w:rsidR="0034278B" w:rsidRDefault="0082709B" w:rsidP="0034278B">
      <w:r>
        <w:t>In 2/6/2026 she reported good appetite, but not receiving homemade protein shake , instead she received mighty shake which was discarded by her , she don’t like it.</w:t>
      </w:r>
      <w:r>
        <w:br/>
      </w:r>
      <w:r w:rsidR="0034278B">
        <w:t>Outpatient oncology nutrition follow-up is recommended to monitor ongoing weight changes, treatment-related symptoms (including esophagitis), and the potential need for escalation to enteral feeding if intake declines. Given the patient’s severe peripheral arterial disease and significant pain, continued interdisciplinary coordination is warranted to support functional status and nutrition intake.</w:t>
      </w:r>
    </w:p>
    <w:p w14:paraId="3237D8F0" w14:textId="3CDE8BC3" w:rsidR="0082709B" w:rsidRDefault="0082709B" w:rsidP="0034278B">
      <w:r>
        <w:t xml:space="preserve">Another recommendation is homemade protein shake 1 </w:t>
      </w:r>
      <w:r w:rsidR="00263DFA">
        <w:t>-</w:t>
      </w:r>
      <w:r>
        <w:t xml:space="preserve"> 2 times a day, keep good hydration status. </w:t>
      </w:r>
    </w:p>
    <w:p w14:paraId="09FE8732" w14:textId="77777777" w:rsidR="0034278B" w:rsidRDefault="0034278B" w:rsidP="0034278B">
      <w:pPr>
        <w:spacing w:before="120"/>
      </w:pPr>
      <w:r>
        <w:rPr>
          <w:b/>
        </w:rPr>
        <w:t>Summary</w:t>
      </w:r>
    </w:p>
    <w:p w14:paraId="04954410" w14:textId="77777777" w:rsidR="0034278B" w:rsidRDefault="0034278B" w:rsidP="0034278B">
      <w:r>
        <w:t>This case highlights the intersection of metastatic lung cancer treatment, symptom burden, and social support on nutritional status. The patient presented with high nutrition risk marked by inadequate habitual intake, recent clinically significant weight loss, and NFPE findings consistent with moderate malnutrition. The nutrition care plan emphasized high-calorie/high-protein oral intake, daily supplement use, soft-texture foods to support swallowing comfort, and practical strategies to improve adherence in the home environment.</w:t>
      </w:r>
    </w:p>
    <w:p w14:paraId="6D60C472" w14:textId="77777777" w:rsidR="0034278B" w:rsidRDefault="0034278B" w:rsidP="0034278B">
      <w:r>
        <w:t>Personal impressions (dietetic intern): The patient appeared to eat better in the hospital setting when food was readily accessible and required minimal preparation. This observation reinforced the importance of discharge planning that addresses convenience, symptom management, and caregiver involvement to sustain nutrition goals.</w:t>
      </w:r>
    </w:p>
    <w:p w14:paraId="345D30D1" w14:textId="77777777" w:rsidR="0034278B" w:rsidRDefault="0034278B" w:rsidP="0034278B">
      <w:pPr>
        <w:spacing w:before="120"/>
      </w:pPr>
      <w:r>
        <w:rPr>
          <w:b/>
        </w:rPr>
        <w:lastRenderedPageBreak/>
        <w:t>References</w:t>
      </w:r>
    </w:p>
    <w:p w14:paraId="76268EE0" w14:textId="77777777" w:rsidR="0034278B" w:rsidRDefault="0034278B" w:rsidP="0034278B">
      <w:r>
        <w:t>Academy of Nutrition and Dietetics. (2020). Nutrition Care Process Terminology (</w:t>
      </w:r>
      <w:proofErr w:type="spellStart"/>
      <w:r>
        <w:t>eNCPT</w:t>
      </w:r>
      <w:proofErr w:type="spellEnd"/>
      <w:r>
        <w:t>).</w:t>
      </w:r>
    </w:p>
    <w:p w14:paraId="4044161F" w14:textId="77777777" w:rsidR="0034278B" w:rsidRDefault="0034278B" w:rsidP="0034278B">
      <w:r>
        <w:t xml:space="preserve">Arends, J., Bachmann, P., </w:t>
      </w:r>
      <w:proofErr w:type="spellStart"/>
      <w:r>
        <w:t>Baracos</w:t>
      </w:r>
      <w:proofErr w:type="spellEnd"/>
      <w:r>
        <w:t>, V., Barthelemy, N., Bertz, H., Bozzetti, F., et al. (2017). ESPEN guidelines on nutrition in cancer patients. Clinical Nutrition, 36(1), 11–48.</w:t>
      </w:r>
    </w:p>
    <w:p w14:paraId="0F116893" w14:textId="77777777" w:rsidR="0034278B" w:rsidRDefault="0034278B" w:rsidP="0034278B">
      <w:r>
        <w:t xml:space="preserve">Cederholm, T., Jensen, G. L., Correia, M. I. T. D., Gonzalez, M. C., Fukushima, R., </w:t>
      </w:r>
      <w:proofErr w:type="spellStart"/>
      <w:r>
        <w:t>Higashiguchi</w:t>
      </w:r>
      <w:proofErr w:type="spellEnd"/>
      <w:r>
        <w:t>, T., et al. (2019). GLIM criteria for the diagnosis of malnutrition—A consensus report. Clinical Nutrition, 38(1), 1–9.</w:t>
      </w:r>
    </w:p>
    <w:p w14:paraId="29E5838E" w14:textId="77777777" w:rsidR="0034278B" w:rsidRDefault="0034278B" w:rsidP="0034278B">
      <w:r>
        <w:t>Huhmann, M. B., &amp; August, D. A. (2009). A.S.P.E.N. clinical guidelines: Nutrition support therapy during adult anticancer treatment and in hematopoietic cell transplantation. JPEN Journal of Parenteral and Enteral Nutrition, 33(5), 472–500.</w:t>
      </w:r>
    </w:p>
    <w:p w14:paraId="67A49917" w14:textId="77777777" w:rsidR="0034278B" w:rsidRDefault="0034278B" w:rsidP="00262004"/>
    <w:sdt>
      <w:sdtPr>
        <w:rPr>
          <w:rFonts w:asciiTheme="minorHAnsi" w:eastAsiaTheme="minorEastAsia" w:hAnsiTheme="minorHAnsi" w:cstheme="minorBidi"/>
        </w:rPr>
        <w:id w:val="-573587230"/>
        <w:bibliography/>
      </w:sdtPr>
      <w:sdtContent>
        <w:p w14:paraId="52407147" w14:textId="4D3C80EA" w:rsidR="008928E1" w:rsidRDefault="00000000">
          <w:pPr>
            <w:pStyle w:val="SectionTitle"/>
          </w:pPr>
          <w:r w:rsidRPr="00CB3B8D">
            <w:rPr>
              <w:highlight w:val="yellow"/>
            </w:rPr>
            <w:t>References</w:t>
          </w:r>
          <w:bookmarkEnd w:id="1"/>
          <w:r w:rsidR="00CB3B8D" w:rsidRPr="00CB3B8D">
            <w:rPr>
              <w:highlight w:val="yellow"/>
            </w:rPr>
            <w:t xml:space="preserve"> </w:t>
          </w:r>
          <w:proofErr w:type="gramStart"/>
          <w:r w:rsidR="00CB3B8D" w:rsidRPr="00CB3B8D">
            <w:rPr>
              <w:highlight w:val="yellow"/>
            </w:rPr>
            <w:t>( in</w:t>
          </w:r>
          <w:proofErr w:type="gramEnd"/>
          <w:r w:rsidR="00CB3B8D" w:rsidRPr="00CB3B8D">
            <w:rPr>
              <w:highlight w:val="yellow"/>
            </w:rPr>
            <w:t xml:space="preserve"> order)</w:t>
          </w:r>
        </w:p>
        <w:p w14:paraId="4E3450D2" w14:textId="75BB8AB9" w:rsidR="00FB6AB3" w:rsidRPr="00FB6AB3" w:rsidRDefault="00FB6AB3" w:rsidP="00FB6AB3">
          <w:pPr>
            <w:pStyle w:val="NormalWeb"/>
            <w:rPr>
              <w:rFonts w:eastAsia="Times New Roman"/>
              <w:kern w:val="0"/>
              <w:lang w:val="en-PS" w:eastAsia="en-US"/>
            </w:rPr>
          </w:pPr>
          <w:r w:rsidRPr="00FB6AB3">
            <w:rPr>
              <w:rFonts w:eastAsia="Times New Roman"/>
              <w:kern w:val="0"/>
              <w:lang w:val="en-PS" w:eastAsia="en-US"/>
            </w:rPr>
            <w:t xml:space="preserve">Baarends, E. M., Schols, A. M. W. J., Westerterp, K. R., &amp; Wouters, E. F. M. (1997). Total daily energy expenditure relative to resting energy expenditure in patients with chronic obstructive pulmonary disease. </w:t>
          </w:r>
          <w:r w:rsidRPr="00FB6AB3">
            <w:rPr>
              <w:rFonts w:eastAsia="Times New Roman"/>
              <w:i/>
              <w:iCs/>
              <w:kern w:val="0"/>
              <w:lang w:val="en-PS" w:eastAsia="en-US"/>
            </w:rPr>
            <w:t>Thorax, 52</w:t>
          </w:r>
          <w:r w:rsidRPr="00FB6AB3">
            <w:rPr>
              <w:rFonts w:eastAsia="Times New Roman"/>
              <w:kern w:val="0"/>
              <w:lang w:val="en-PS" w:eastAsia="en-US"/>
            </w:rPr>
            <w:t xml:space="preserve">(9), 780–785. </w:t>
          </w:r>
        </w:p>
        <w:p w14:paraId="480D559E" w14:textId="77777777" w:rsidR="00FB6AB3" w:rsidRPr="00FB6AB3" w:rsidRDefault="00FB6AB3" w:rsidP="00FB6AB3">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FB6AB3">
            <w:rPr>
              <w:rFonts w:ascii="Times New Roman" w:eastAsia="Times New Roman" w:hAnsi="Times New Roman" w:cs="Times New Roman"/>
              <w:kern w:val="0"/>
              <w:lang w:val="en-PS" w:eastAsia="en-US"/>
            </w:rPr>
            <w:t xml:space="preserve">Baker, S., et al. (2016). Radiation-induced esophagitis in lung cancer. </w:t>
          </w:r>
          <w:r w:rsidRPr="00FB6AB3">
            <w:rPr>
              <w:rFonts w:ascii="Times New Roman" w:eastAsia="Times New Roman" w:hAnsi="Times New Roman" w:cs="Times New Roman"/>
              <w:i/>
              <w:iCs/>
              <w:kern w:val="0"/>
              <w:lang w:val="en-PS" w:eastAsia="en-US"/>
            </w:rPr>
            <w:t>Lung Cancer: Targets and Therapy, 7</w:t>
          </w:r>
          <w:r w:rsidRPr="00FB6AB3">
            <w:rPr>
              <w:rFonts w:ascii="Times New Roman" w:eastAsia="Times New Roman" w:hAnsi="Times New Roman" w:cs="Times New Roman"/>
              <w:kern w:val="0"/>
              <w:lang w:val="en-PS" w:eastAsia="en-US"/>
            </w:rPr>
            <w:t xml:space="preserve">, 119–129. </w:t>
          </w:r>
        </w:p>
        <w:p w14:paraId="429A6A43" w14:textId="77777777" w:rsidR="00FB6AB3" w:rsidRPr="00FB6AB3" w:rsidRDefault="00FB6AB3" w:rsidP="00FB6AB3">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FB6AB3">
            <w:rPr>
              <w:rFonts w:ascii="Times New Roman" w:eastAsia="Times New Roman" w:hAnsi="Times New Roman" w:cs="Times New Roman"/>
              <w:kern w:val="0"/>
              <w:lang w:val="en-PS" w:eastAsia="en-US"/>
            </w:rPr>
            <w:t xml:space="preserve">Carvalho, J., et al. (2022). Association between the risk of malnutrition and functional capacity in symptomatic peripheral artery disease patients. </w:t>
          </w:r>
          <w:r w:rsidRPr="00FB6AB3">
            <w:rPr>
              <w:rFonts w:ascii="Times New Roman" w:eastAsia="Times New Roman" w:hAnsi="Times New Roman" w:cs="Times New Roman"/>
              <w:i/>
              <w:iCs/>
              <w:kern w:val="0"/>
              <w:lang w:val="en-PS" w:eastAsia="en-US"/>
            </w:rPr>
            <w:t>PLOS ONE, 17</w:t>
          </w:r>
          <w:r w:rsidRPr="00FB6AB3">
            <w:rPr>
              <w:rFonts w:ascii="Times New Roman" w:eastAsia="Times New Roman" w:hAnsi="Times New Roman" w:cs="Times New Roman"/>
              <w:kern w:val="0"/>
              <w:lang w:val="en-PS" w:eastAsia="en-US"/>
            </w:rPr>
            <w:t xml:space="preserve">(8), e0273051. </w:t>
          </w:r>
        </w:p>
        <w:p w14:paraId="38EB5A57" w14:textId="77777777" w:rsidR="00FB6AB3" w:rsidRPr="00FB6AB3" w:rsidRDefault="00FB6AB3" w:rsidP="00FB6AB3">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FB6AB3">
            <w:rPr>
              <w:rFonts w:ascii="Times New Roman" w:eastAsia="Times New Roman" w:hAnsi="Times New Roman" w:cs="Times New Roman"/>
              <w:kern w:val="0"/>
              <w:lang w:val="en-PS" w:eastAsia="en-US"/>
            </w:rPr>
            <w:t xml:space="preserve">Cole, C. L., Kleckner, I. R., Jatoi, A., Schwarz, E. M., Dunne, R. F., &amp; Nyrop, K. A. (2018). The role of systemic inflammation in cancer-associated muscle wasting and cachexia. </w:t>
          </w:r>
          <w:r w:rsidRPr="00FB6AB3">
            <w:rPr>
              <w:rFonts w:ascii="Times New Roman" w:eastAsia="Times New Roman" w:hAnsi="Times New Roman" w:cs="Times New Roman"/>
              <w:i/>
              <w:iCs/>
              <w:kern w:val="0"/>
              <w:lang w:val="en-PS" w:eastAsia="en-US"/>
            </w:rPr>
            <w:t>Frontiers in Physiology, 9</w:t>
          </w:r>
          <w:r w:rsidRPr="00FB6AB3">
            <w:rPr>
              <w:rFonts w:ascii="Times New Roman" w:eastAsia="Times New Roman" w:hAnsi="Times New Roman" w:cs="Times New Roman"/>
              <w:kern w:val="0"/>
              <w:lang w:val="en-PS" w:eastAsia="en-US"/>
            </w:rPr>
            <w:t xml:space="preserve">, 1093. </w:t>
          </w:r>
        </w:p>
        <w:p w14:paraId="37F598D1" w14:textId="77777777" w:rsidR="00FB6AB3" w:rsidRPr="00FB6AB3" w:rsidRDefault="00FB6AB3" w:rsidP="00FB6AB3">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FB6AB3">
            <w:rPr>
              <w:rFonts w:ascii="Times New Roman" w:eastAsia="Times New Roman" w:hAnsi="Times New Roman" w:cs="Times New Roman"/>
              <w:kern w:val="0"/>
              <w:lang w:val="en-PS" w:eastAsia="en-US"/>
            </w:rPr>
            <w:t xml:space="preserve">Fearon, K., Strasser, F., Anker, S. D., Bosaeus, I., Bruera, E., Fainsinger, R. L., … Baracos, V. E. (2011). Definition and classification of cancer cachexia: An international consensus. </w:t>
          </w:r>
          <w:r w:rsidRPr="00FB6AB3">
            <w:rPr>
              <w:rFonts w:ascii="Times New Roman" w:eastAsia="Times New Roman" w:hAnsi="Times New Roman" w:cs="Times New Roman"/>
              <w:i/>
              <w:iCs/>
              <w:kern w:val="0"/>
              <w:lang w:val="en-PS" w:eastAsia="en-US"/>
            </w:rPr>
            <w:t>The Lancet Oncology, 12</w:t>
          </w:r>
          <w:r w:rsidRPr="00FB6AB3">
            <w:rPr>
              <w:rFonts w:ascii="Times New Roman" w:eastAsia="Times New Roman" w:hAnsi="Times New Roman" w:cs="Times New Roman"/>
              <w:kern w:val="0"/>
              <w:lang w:val="en-PS" w:eastAsia="en-US"/>
            </w:rPr>
            <w:t xml:space="preserve">(5), 489–495. </w:t>
          </w:r>
        </w:p>
        <w:p w14:paraId="63F46244" w14:textId="77777777" w:rsidR="00FB6AB3" w:rsidRPr="00FB6AB3" w:rsidRDefault="00FB6AB3" w:rsidP="00FB6AB3">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FB6AB3">
            <w:rPr>
              <w:rFonts w:ascii="Times New Roman" w:eastAsia="Times New Roman" w:hAnsi="Times New Roman" w:cs="Times New Roman"/>
              <w:kern w:val="0"/>
              <w:lang w:val="en-PS" w:eastAsia="en-US"/>
            </w:rPr>
            <w:t xml:space="preserve">Galaniha, L. T., et al. (2023). Taste loss in cancer patients: Clinicians’ perceptions of patient outcomes and management strategies. </w:t>
          </w:r>
          <w:r w:rsidRPr="00FB6AB3">
            <w:rPr>
              <w:rFonts w:ascii="Times New Roman" w:eastAsia="Times New Roman" w:hAnsi="Times New Roman" w:cs="Times New Roman"/>
              <w:i/>
              <w:iCs/>
              <w:kern w:val="0"/>
              <w:lang w:val="en-PS" w:eastAsia="en-US"/>
            </w:rPr>
            <w:t>Supportive Care in Cancer</w:t>
          </w:r>
          <w:r w:rsidRPr="00FB6AB3">
            <w:rPr>
              <w:rFonts w:ascii="Times New Roman" w:eastAsia="Times New Roman" w:hAnsi="Times New Roman" w:cs="Times New Roman"/>
              <w:kern w:val="0"/>
              <w:lang w:val="en-PS" w:eastAsia="en-US"/>
            </w:rPr>
            <w:t xml:space="preserve"> (article available via PubMed Central). </w:t>
          </w:r>
        </w:p>
        <w:p w14:paraId="316AAA76" w14:textId="77777777" w:rsidR="00FB6AB3" w:rsidRPr="00FB6AB3" w:rsidRDefault="00FB6AB3" w:rsidP="00FB6AB3">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FB6AB3">
            <w:rPr>
              <w:rFonts w:ascii="Times New Roman" w:eastAsia="Times New Roman" w:hAnsi="Times New Roman" w:cs="Times New Roman"/>
              <w:kern w:val="0"/>
              <w:lang w:val="en-PS" w:eastAsia="en-US"/>
            </w:rPr>
            <w:t xml:space="preserve">Ghias, K., et al. (2023). The impact of treatment-induced dysgeusia on food consumption and nutrition outcomes in oncology patients: A review. </w:t>
          </w:r>
          <w:r w:rsidRPr="00FB6AB3">
            <w:rPr>
              <w:rFonts w:ascii="Times New Roman" w:eastAsia="Times New Roman" w:hAnsi="Times New Roman" w:cs="Times New Roman"/>
              <w:i/>
              <w:iCs/>
              <w:kern w:val="0"/>
              <w:lang w:val="en-PS" w:eastAsia="en-US"/>
            </w:rPr>
            <w:t>Clinical Nutrition Open Science</w:t>
          </w:r>
          <w:r w:rsidRPr="00FB6AB3">
            <w:rPr>
              <w:rFonts w:ascii="Times New Roman" w:eastAsia="Times New Roman" w:hAnsi="Times New Roman" w:cs="Times New Roman"/>
              <w:kern w:val="0"/>
              <w:lang w:val="en-PS" w:eastAsia="en-US"/>
            </w:rPr>
            <w:t xml:space="preserve">. </w:t>
          </w:r>
        </w:p>
        <w:p w14:paraId="641A4FF3" w14:textId="77777777" w:rsidR="00FB6AB3" w:rsidRPr="00FB6AB3" w:rsidRDefault="00FB6AB3" w:rsidP="00FB6AB3">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FB6AB3">
            <w:rPr>
              <w:rFonts w:ascii="Times New Roman" w:eastAsia="Times New Roman" w:hAnsi="Times New Roman" w:cs="Times New Roman"/>
              <w:kern w:val="0"/>
              <w:lang w:val="en-PS" w:eastAsia="en-US"/>
            </w:rPr>
            <w:t xml:space="preserve">Leelathanalerk, A., et al. (2024). Quality of life and utility of patients with peripheral artery disease: A systematic review and meta-analysis. </w:t>
          </w:r>
          <w:r w:rsidRPr="00FB6AB3">
            <w:rPr>
              <w:rFonts w:ascii="Times New Roman" w:eastAsia="Times New Roman" w:hAnsi="Times New Roman" w:cs="Times New Roman"/>
              <w:i/>
              <w:iCs/>
              <w:kern w:val="0"/>
              <w:lang w:val="en-PS" w:eastAsia="en-US"/>
            </w:rPr>
            <w:t>PLOS ONE</w:t>
          </w:r>
          <w:r w:rsidRPr="00FB6AB3">
            <w:rPr>
              <w:rFonts w:ascii="Times New Roman" w:eastAsia="Times New Roman" w:hAnsi="Times New Roman" w:cs="Times New Roman"/>
              <w:kern w:val="0"/>
              <w:lang w:val="en-PS" w:eastAsia="en-US"/>
            </w:rPr>
            <w:t xml:space="preserve"> (article available via PubMed Central). </w:t>
          </w:r>
        </w:p>
        <w:p w14:paraId="607A0A5F" w14:textId="77777777" w:rsidR="00FB6AB3" w:rsidRPr="00FB6AB3" w:rsidRDefault="00FB6AB3" w:rsidP="00FB6AB3">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FB6AB3">
            <w:rPr>
              <w:rFonts w:ascii="Times New Roman" w:eastAsia="Times New Roman" w:hAnsi="Times New Roman" w:cs="Times New Roman"/>
              <w:kern w:val="0"/>
              <w:lang w:val="en-PS" w:eastAsia="en-US"/>
            </w:rPr>
            <w:t xml:space="preserve">Ni, J., Zhang, L., &amp; Cai, X. (2020). Cancer cachexia: Definition, staging, and emerging treatments. </w:t>
          </w:r>
          <w:r w:rsidRPr="00FB6AB3">
            <w:rPr>
              <w:rFonts w:ascii="Times New Roman" w:eastAsia="Times New Roman" w:hAnsi="Times New Roman" w:cs="Times New Roman"/>
              <w:i/>
              <w:iCs/>
              <w:kern w:val="0"/>
              <w:lang w:val="en-PS" w:eastAsia="en-US"/>
            </w:rPr>
            <w:t>Frontiers in Nutrition</w:t>
          </w:r>
          <w:r w:rsidRPr="00FB6AB3">
            <w:rPr>
              <w:rFonts w:ascii="Times New Roman" w:eastAsia="Times New Roman" w:hAnsi="Times New Roman" w:cs="Times New Roman"/>
              <w:kern w:val="0"/>
              <w:lang w:val="en-PS" w:eastAsia="en-US"/>
            </w:rPr>
            <w:t xml:space="preserve"> (article available via PubMed Central). </w:t>
          </w:r>
        </w:p>
        <w:p w14:paraId="44ECCA55" w14:textId="77777777" w:rsidR="00FB6AB3" w:rsidRPr="00FB6AB3" w:rsidRDefault="00FB6AB3" w:rsidP="00FB6AB3">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FB6AB3">
            <w:rPr>
              <w:rFonts w:ascii="Times New Roman" w:eastAsia="Times New Roman" w:hAnsi="Times New Roman" w:cs="Times New Roman"/>
              <w:kern w:val="0"/>
              <w:lang w:val="en-PS" w:eastAsia="en-US"/>
            </w:rPr>
            <w:t xml:space="preserve">Rawal, G., &amp; Yadav, S. (2015). Nutrition in chronic obstructive pulmonary disease: A review. </w:t>
          </w:r>
          <w:r w:rsidRPr="00FB6AB3">
            <w:rPr>
              <w:rFonts w:ascii="Times New Roman" w:eastAsia="Times New Roman" w:hAnsi="Times New Roman" w:cs="Times New Roman"/>
              <w:i/>
              <w:iCs/>
              <w:kern w:val="0"/>
              <w:lang w:val="en-PS" w:eastAsia="en-US"/>
            </w:rPr>
            <w:t>Journal of Translational Internal Medicine</w:t>
          </w:r>
          <w:r w:rsidRPr="00FB6AB3">
            <w:rPr>
              <w:rFonts w:ascii="Times New Roman" w:eastAsia="Times New Roman" w:hAnsi="Times New Roman" w:cs="Times New Roman"/>
              <w:kern w:val="0"/>
              <w:lang w:val="en-PS" w:eastAsia="en-US"/>
            </w:rPr>
            <w:t xml:space="preserve"> (article available via PubMed Central). </w:t>
          </w:r>
        </w:p>
        <w:p w14:paraId="4B1B0754" w14:textId="77777777" w:rsidR="00FB6AB3" w:rsidRPr="00FB6AB3" w:rsidRDefault="00FB6AB3" w:rsidP="00FB6AB3">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FB6AB3">
            <w:rPr>
              <w:rFonts w:ascii="Times New Roman" w:eastAsia="Times New Roman" w:hAnsi="Times New Roman" w:cs="Times New Roman"/>
              <w:kern w:val="0"/>
              <w:lang w:val="en-PS" w:eastAsia="en-US"/>
            </w:rPr>
            <w:t xml:space="preserve">Rodighiero, J., et al. (2022). A scoping review of malnutrition in patients undergoing interventions for peripheral artery disease. </w:t>
          </w:r>
          <w:r w:rsidRPr="00FB6AB3">
            <w:rPr>
              <w:rFonts w:ascii="Times New Roman" w:eastAsia="Times New Roman" w:hAnsi="Times New Roman" w:cs="Times New Roman"/>
              <w:i/>
              <w:iCs/>
              <w:kern w:val="0"/>
              <w:lang w:val="en-PS" w:eastAsia="en-US"/>
            </w:rPr>
            <w:t>Journal of Vascular Surgery</w:t>
          </w:r>
          <w:r w:rsidRPr="00FB6AB3">
            <w:rPr>
              <w:rFonts w:ascii="Times New Roman" w:eastAsia="Times New Roman" w:hAnsi="Times New Roman" w:cs="Times New Roman"/>
              <w:kern w:val="0"/>
              <w:lang w:val="en-PS" w:eastAsia="en-US"/>
            </w:rPr>
            <w:t xml:space="preserve">. </w:t>
          </w:r>
        </w:p>
        <w:p w14:paraId="66F5034C" w14:textId="77777777" w:rsidR="00FB6AB3" w:rsidRPr="00FB6AB3" w:rsidRDefault="00FB6AB3" w:rsidP="00FB6AB3">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FB6AB3">
            <w:rPr>
              <w:rFonts w:ascii="Times New Roman" w:eastAsia="Times New Roman" w:hAnsi="Times New Roman" w:cs="Times New Roman"/>
              <w:kern w:val="0"/>
              <w:lang w:val="en-PS" w:eastAsia="en-US"/>
            </w:rPr>
            <w:t xml:space="preserve">Schols, A. M. W. J., et al. (1991). Resting energy expenditure in patients with chronic obstructive pulmonary disease. </w:t>
          </w:r>
          <w:r w:rsidRPr="00FB6AB3">
            <w:rPr>
              <w:rFonts w:ascii="Times New Roman" w:eastAsia="Times New Roman" w:hAnsi="Times New Roman" w:cs="Times New Roman"/>
              <w:i/>
              <w:iCs/>
              <w:kern w:val="0"/>
              <w:lang w:val="en-PS" w:eastAsia="en-US"/>
            </w:rPr>
            <w:t>The American Journal of Clinical Nutrition, 54</w:t>
          </w:r>
          <w:r w:rsidRPr="00FB6AB3">
            <w:rPr>
              <w:rFonts w:ascii="Times New Roman" w:eastAsia="Times New Roman" w:hAnsi="Times New Roman" w:cs="Times New Roman"/>
              <w:kern w:val="0"/>
              <w:lang w:val="en-PS" w:eastAsia="en-US"/>
            </w:rPr>
            <w:t xml:space="preserve">(6), 983–987. </w:t>
          </w:r>
        </w:p>
        <w:p w14:paraId="608C5605" w14:textId="77777777" w:rsidR="00FB6AB3" w:rsidRDefault="00FB6AB3" w:rsidP="00FB6AB3">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FB6AB3">
            <w:rPr>
              <w:rFonts w:ascii="Times New Roman" w:eastAsia="Times New Roman" w:hAnsi="Times New Roman" w:cs="Times New Roman"/>
              <w:kern w:val="0"/>
              <w:lang w:val="en-PS" w:eastAsia="en-US"/>
            </w:rPr>
            <w:lastRenderedPageBreak/>
            <w:t xml:space="preserve">Wu, Q., et al. (2025). Research progress of radiation esophagitis: A narrative review. </w:t>
          </w:r>
          <w:r w:rsidRPr="00FB6AB3">
            <w:rPr>
              <w:rFonts w:ascii="Times New Roman" w:eastAsia="Times New Roman" w:hAnsi="Times New Roman" w:cs="Times New Roman"/>
              <w:i/>
              <w:iCs/>
              <w:kern w:val="0"/>
              <w:lang w:val="en-PS" w:eastAsia="en-US"/>
            </w:rPr>
            <w:t>Frontiers in Oncology</w:t>
          </w:r>
          <w:r w:rsidRPr="00FB6AB3">
            <w:rPr>
              <w:rFonts w:ascii="Times New Roman" w:eastAsia="Times New Roman" w:hAnsi="Times New Roman" w:cs="Times New Roman"/>
              <w:kern w:val="0"/>
              <w:lang w:val="en-PS" w:eastAsia="en-US"/>
            </w:rPr>
            <w:t xml:space="preserve"> (article available via PubMed Central). </w:t>
          </w:r>
        </w:p>
        <w:p w14:paraId="28883805" w14:textId="77777777" w:rsidR="00CB3B8D" w:rsidRPr="00CB3B8D" w:rsidRDefault="00CB3B8D" w:rsidP="00CB3B8D">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CB3B8D">
            <w:rPr>
              <w:rFonts w:ascii="Times New Roman" w:eastAsia="Times New Roman" w:hAnsi="Times New Roman" w:cs="Times New Roman"/>
              <w:kern w:val="0"/>
              <w:lang w:val="en-PS" w:eastAsia="en-US"/>
            </w:rPr>
            <w:t xml:space="preserve">Cederholm, T., Jensen, G. L., Correia, M. I. T. D., Gonzalez, M. C., Fukushima, R., Higashiguchi, T., </w:t>
          </w:r>
          <w:r w:rsidRPr="00CB3B8D">
            <w:rPr>
              <w:rFonts w:ascii="Times New Roman" w:eastAsia="Times New Roman" w:hAnsi="Times New Roman" w:cs="Times New Roman"/>
              <w:i/>
              <w:iCs/>
              <w:kern w:val="0"/>
              <w:lang w:val="en-PS" w:eastAsia="en-US"/>
            </w:rPr>
            <w:t>et al.</w:t>
          </w:r>
          <w:r w:rsidRPr="00CB3B8D">
            <w:rPr>
              <w:rFonts w:ascii="Times New Roman" w:eastAsia="Times New Roman" w:hAnsi="Times New Roman" w:cs="Times New Roman"/>
              <w:kern w:val="0"/>
              <w:lang w:val="en-PS" w:eastAsia="en-US"/>
            </w:rPr>
            <w:t xml:space="preserve"> (2019). GLIM criteria for the diagnosis of malnutrition: A consensus report from the global clinical nutrition community. </w:t>
          </w:r>
          <w:r w:rsidRPr="00CB3B8D">
            <w:rPr>
              <w:rFonts w:ascii="Times New Roman" w:eastAsia="Times New Roman" w:hAnsi="Times New Roman" w:cs="Times New Roman"/>
              <w:i/>
              <w:iCs/>
              <w:kern w:val="0"/>
              <w:lang w:val="en-PS" w:eastAsia="en-US"/>
            </w:rPr>
            <w:t>Journal of Parenteral and Enteral Nutrition, 43</w:t>
          </w:r>
          <w:r w:rsidRPr="00CB3B8D">
            <w:rPr>
              <w:rFonts w:ascii="Times New Roman" w:eastAsia="Times New Roman" w:hAnsi="Times New Roman" w:cs="Times New Roman"/>
              <w:kern w:val="0"/>
              <w:lang w:val="en-PS" w:eastAsia="en-US"/>
            </w:rPr>
            <w:t xml:space="preserve">(1), 32–40. </w:t>
          </w:r>
        </w:p>
        <w:p w14:paraId="0CD9EFEF" w14:textId="77777777" w:rsidR="00CB3B8D" w:rsidRPr="00CB3B8D" w:rsidRDefault="00CB3B8D" w:rsidP="00CB3B8D">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CB3B8D">
            <w:rPr>
              <w:rFonts w:ascii="Times New Roman" w:eastAsia="Times New Roman" w:hAnsi="Times New Roman" w:cs="Times New Roman"/>
              <w:kern w:val="0"/>
              <w:lang w:val="en-PS" w:eastAsia="en-US"/>
            </w:rPr>
            <w:t xml:space="preserve">Global Initiative for Chronic Obstructive Lung Disease. (2025). </w:t>
          </w:r>
          <w:r w:rsidRPr="00CB3B8D">
            <w:rPr>
              <w:rFonts w:ascii="Times New Roman" w:eastAsia="Times New Roman" w:hAnsi="Times New Roman" w:cs="Times New Roman"/>
              <w:i/>
              <w:iCs/>
              <w:kern w:val="0"/>
              <w:lang w:val="en-PS" w:eastAsia="en-US"/>
            </w:rPr>
            <w:t>Global strategy for the diagnosis, management, and prevention of COPD: 2025 report</w:t>
          </w:r>
          <w:r w:rsidRPr="00CB3B8D">
            <w:rPr>
              <w:rFonts w:ascii="Times New Roman" w:eastAsia="Times New Roman" w:hAnsi="Times New Roman" w:cs="Times New Roman"/>
              <w:kern w:val="0"/>
              <w:lang w:val="en-PS" w:eastAsia="en-US"/>
            </w:rPr>
            <w:t xml:space="preserve">. </w:t>
          </w:r>
        </w:p>
        <w:p w14:paraId="1FD66EAE" w14:textId="77777777" w:rsidR="00CB3B8D" w:rsidRPr="00CB3B8D" w:rsidRDefault="00CB3B8D" w:rsidP="00CB3B8D">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CB3B8D">
            <w:rPr>
              <w:rFonts w:ascii="Times New Roman" w:eastAsia="Times New Roman" w:hAnsi="Times New Roman" w:cs="Times New Roman"/>
              <w:kern w:val="0"/>
              <w:lang w:val="en-PS" w:eastAsia="en-US"/>
            </w:rPr>
            <w:t xml:space="preserve">Muscaritoli, M., Arends, J., Bachmann, P., Baracos, V., Barthelemy, N., Bertz, H., </w:t>
          </w:r>
          <w:r w:rsidRPr="00CB3B8D">
            <w:rPr>
              <w:rFonts w:ascii="Times New Roman" w:eastAsia="Times New Roman" w:hAnsi="Times New Roman" w:cs="Times New Roman"/>
              <w:i/>
              <w:iCs/>
              <w:kern w:val="0"/>
              <w:lang w:val="en-PS" w:eastAsia="en-US"/>
            </w:rPr>
            <w:t>et al.</w:t>
          </w:r>
          <w:r w:rsidRPr="00CB3B8D">
            <w:rPr>
              <w:rFonts w:ascii="Times New Roman" w:eastAsia="Times New Roman" w:hAnsi="Times New Roman" w:cs="Times New Roman"/>
              <w:kern w:val="0"/>
              <w:lang w:val="en-PS" w:eastAsia="en-US"/>
            </w:rPr>
            <w:t xml:space="preserve"> (2021). ESPEN practical guideline: Clinical nutrition in cancer. </w:t>
          </w:r>
          <w:r w:rsidRPr="00CB3B8D">
            <w:rPr>
              <w:rFonts w:ascii="Times New Roman" w:eastAsia="Times New Roman" w:hAnsi="Times New Roman" w:cs="Times New Roman"/>
              <w:i/>
              <w:iCs/>
              <w:kern w:val="0"/>
              <w:lang w:val="en-PS" w:eastAsia="en-US"/>
            </w:rPr>
            <w:t>Clinical Nutrition, 40</w:t>
          </w:r>
          <w:r w:rsidRPr="00CB3B8D">
            <w:rPr>
              <w:rFonts w:ascii="Times New Roman" w:eastAsia="Times New Roman" w:hAnsi="Times New Roman" w:cs="Times New Roman"/>
              <w:kern w:val="0"/>
              <w:lang w:val="en-PS" w:eastAsia="en-US"/>
            </w:rPr>
            <w:t xml:space="preserve">(5), 2898–2913. </w:t>
          </w:r>
        </w:p>
        <w:p w14:paraId="0060CE4D" w14:textId="77777777" w:rsidR="00CB3B8D" w:rsidRPr="00CB3B8D" w:rsidRDefault="00CB3B8D" w:rsidP="00CB3B8D">
          <w:pPr>
            <w:spacing w:before="100" w:beforeAutospacing="1" w:after="100" w:afterAutospacing="1" w:line="240" w:lineRule="auto"/>
            <w:ind w:firstLine="0"/>
            <w:rPr>
              <w:rFonts w:ascii="Times New Roman" w:eastAsia="Times New Roman" w:hAnsi="Times New Roman" w:cs="Times New Roman"/>
              <w:kern w:val="0"/>
              <w:lang w:val="en-PS" w:eastAsia="en-US"/>
            </w:rPr>
          </w:pPr>
          <w:r w:rsidRPr="00CB3B8D">
            <w:rPr>
              <w:rFonts w:ascii="Times New Roman" w:eastAsia="Times New Roman" w:hAnsi="Times New Roman" w:cs="Times New Roman"/>
              <w:kern w:val="0"/>
              <w:lang w:val="en-PS" w:eastAsia="en-US"/>
            </w:rPr>
            <w:t xml:space="preserve">White, J. V., Guenter, P., Jensen, G., Malone, A., &amp; Schofield, M. (2012). Consensus statement: Academy of Nutrition and Dietetics and American Society for Parenteral and Enteral Nutrition: Characteristics recommended for the identification and documentation of adult malnutrition (undernutrition). </w:t>
          </w:r>
          <w:r w:rsidRPr="00CB3B8D">
            <w:rPr>
              <w:rFonts w:ascii="Times New Roman" w:eastAsia="Times New Roman" w:hAnsi="Times New Roman" w:cs="Times New Roman"/>
              <w:i/>
              <w:iCs/>
              <w:kern w:val="0"/>
              <w:lang w:val="en-PS" w:eastAsia="en-US"/>
            </w:rPr>
            <w:t>Journal of the Academy of Nutrition and Dietetics, 112</w:t>
          </w:r>
          <w:r w:rsidRPr="00CB3B8D">
            <w:rPr>
              <w:rFonts w:ascii="Times New Roman" w:eastAsia="Times New Roman" w:hAnsi="Times New Roman" w:cs="Times New Roman"/>
              <w:kern w:val="0"/>
              <w:lang w:val="en-PS" w:eastAsia="en-US"/>
            </w:rPr>
            <w:t xml:space="preserve">(5), 730–738. </w:t>
          </w:r>
        </w:p>
        <w:p w14:paraId="779CBC2F" w14:textId="77777777" w:rsidR="00CB3B8D" w:rsidRPr="00FB6AB3" w:rsidRDefault="00CB3B8D" w:rsidP="00FB6AB3">
          <w:pPr>
            <w:spacing w:before="100" w:beforeAutospacing="1" w:after="100" w:afterAutospacing="1" w:line="240" w:lineRule="auto"/>
            <w:ind w:firstLine="0"/>
            <w:rPr>
              <w:rFonts w:ascii="Times New Roman" w:eastAsia="Times New Roman" w:hAnsi="Times New Roman" w:cs="Times New Roman"/>
              <w:kern w:val="0"/>
              <w:lang w:val="en-PS" w:eastAsia="en-US"/>
            </w:rPr>
          </w:pPr>
        </w:p>
        <w:p w14:paraId="67B9C994" w14:textId="240F3045" w:rsidR="008928E1" w:rsidRDefault="00000000" w:rsidP="00FB6AB3">
          <w:pPr>
            <w:pStyle w:val="Bibliography"/>
          </w:pPr>
        </w:p>
      </w:sdtContent>
    </w:sdt>
    <w:p w14:paraId="5D772FBF" w14:textId="77777777" w:rsidR="008928E1" w:rsidRDefault="00000000">
      <w:pPr>
        <w:pStyle w:val="SectionTitle"/>
      </w:pPr>
      <w:bookmarkStart w:id="2" w:name="_Toc409783211"/>
      <w:r>
        <w:lastRenderedPageBreak/>
        <w:t>Footnotes</w:t>
      </w:r>
      <w:bookmarkEnd w:id="2"/>
    </w:p>
    <w:p w14:paraId="406F8B54" w14:textId="77777777" w:rsidR="008928E1" w:rsidRDefault="00000000">
      <w:r>
        <w:rPr>
          <w:rStyle w:val="FootnoteReference"/>
        </w:rPr>
        <w:t>1</w:t>
      </w:r>
      <w:sdt>
        <w:sdtPr>
          <w:id w:val="1069077422"/>
          <w:placeholder>
            <w:docPart w:val="765B2D09A31400478CE6F8D47AEF0A9A"/>
          </w:placeholder>
          <w:temporary/>
          <w:showingPlcHdr/>
          <w15:appearance w15:val="hidden"/>
          <w:text/>
        </w:sdtPr>
        <w:sdtEndPr>
          <w:rPr>
            <w:rStyle w:val="FootnoteReference"/>
            <w:vertAlign w:val="superscript"/>
          </w:rPr>
        </w:sdtEndPr>
        <w:sdtContent>
          <w:r>
            <w:t xml:space="preserve">[Add footnotes, if any, on their own page following references.  For APA formatting requirements, it’s easy to just type your own footnote references and notes.  To format a footnote reference, select the number and then apply the Footnote Reference.  The body of a footnote, such as this example, uses the Normal text style.  </w:t>
          </w:r>
          <w:r>
            <w:rPr>
              <w:rStyle w:val="Emphasis"/>
            </w:rPr>
            <w:t>(Note:  If you delete this sample footnote, don’t forget to delete its in-text reference as well.)</w:t>
          </w:r>
          <w:r>
            <w:t>]</w:t>
          </w:r>
        </w:sdtContent>
      </w:sdt>
    </w:p>
    <w:p w14:paraId="1240E04C" w14:textId="77777777" w:rsidR="008928E1" w:rsidRDefault="00000000">
      <w:pPr>
        <w:pStyle w:val="SectionTitle"/>
      </w:pPr>
      <w:bookmarkStart w:id="3" w:name="_Toc409783212"/>
      <w:r>
        <w:lastRenderedPageBreak/>
        <w:t>Tables</w:t>
      </w:r>
      <w:bookmarkEnd w:id="3"/>
    </w:p>
    <w:p w14:paraId="5DE981B9" w14:textId="77777777" w:rsidR="008928E1" w:rsidRDefault="00000000">
      <w:pPr>
        <w:pStyle w:val="NoSpacing"/>
      </w:pPr>
      <w:r>
        <w:t>Table 1</w:t>
      </w:r>
    </w:p>
    <w:sdt>
      <w:sdtPr>
        <w:rPr>
          <w:rStyle w:val="Emphasis"/>
        </w:rPr>
        <w:id w:val="1042324137"/>
        <w:placeholder>
          <w:docPart w:val="5956D0D227D4694393FB8B68F7AE6127"/>
        </w:placeholder>
        <w:temporary/>
        <w:showingPlcHdr/>
        <w15:appearance w15:val="hidden"/>
        <w:text/>
      </w:sdtPr>
      <w:sdtEndPr>
        <w:rPr>
          <w:rStyle w:val="DefaultParagraphFont"/>
          <w:i w:val="0"/>
          <w:iCs w:val="0"/>
        </w:rPr>
      </w:sdtEndPr>
      <w:sdtContent>
        <w:p w14:paraId="6222864C" w14:textId="77777777" w:rsidR="008928E1" w:rsidRDefault="00000000">
          <w:pPr>
            <w:pStyle w:val="NoSpacing"/>
          </w:pPr>
          <w:r>
            <w:rPr>
              <w:rStyle w:val="Emphasis"/>
            </w:rPr>
            <w:t>[Table Title]</w:t>
          </w:r>
        </w:p>
      </w:sdtContent>
    </w:sdt>
    <w:tbl>
      <w:tblPr>
        <w:tblStyle w:val="APAReport"/>
        <w:tblW w:w="5000" w:type="pct"/>
        <w:tblLook w:val="04A0" w:firstRow="1" w:lastRow="0" w:firstColumn="1" w:lastColumn="0" w:noHBand="0" w:noVBand="1"/>
        <w:tblCaption w:val="Sample 5-column table"/>
      </w:tblPr>
      <w:tblGrid>
        <w:gridCol w:w="1874"/>
        <w:gridCol w:w="1872"/>
        <w:gridCol w:w="1872"/>
        <w:gridCol w:w="1872"/>
        <w:gridCol w:w="1870"/>
      </w:tblGrid>
      <w:tr w:rsidR="008928E1" w14:paraId="4D88A75E" w14:textId="77777777" w:rsidTr="008928E1">
        <w:trPr>
          <w:cnfStyle w:val="100000000000" w:firstRow="1" w:lastRow="0" w:firstColumn="0" w:lastColumn="0" w:oddVBand="0" w:evenVBand="0" w:oddHBand="0" w:evenHBand="0" w:firstRowFirstColumn="0" w:firstRowLastColumn="0" w:lastRowFirstColumn="0" w:lastRowLastColumn="0"/>
        </w:trPr>
        <w:tc>
          <w:tcPr>
            <w:tcW w:w="1001" w:type="pct"/>
          </w:tcPr>
          <w:p w14:paraId="6187079F" w14:textId="77777777" w:rsidR="008928E1" w:rsidRDefault="00000000">
            <w:pPr>
              <w:pStyle w:val="NoSpacing"/>
            </w:pPr>
            <w:r>
              <w:t>Column Head</w:t>
            </w:r>
          </w:p>
        </w:tc>
        <w:tc>
          <w:tcPr>
            <w:tcW w:w="1000" w:type="pct"/>
          </w:tcPr>
          <w:p w14:paraId="143C3BD3" w14:textId="77777777" w:rsidR="008928E1" w:rsidRDefault="00000000">
            <w:pPr>
              <w:pStyle w:val="NoSpacing"/>
            </w:pPr>
            <w:r>
              <w:t>Column Head</w:t>
            </w:r>
          </w:p>
        </w:tc>
        <w:tc>
          <w:tcPr>
            <w:tcW w:w="1000" w:type="pct"/>
          </w:tcPr>
          <w:p w14:paraId="65CFD80E" w14:textId="77777777" w:rsidR="008928E1" w:rsidRDefault="00000000">
            <w:pPr>
              <w:pStyle w:val="NoSpacing"/>
            </w:pPr>
            <w:r>
              <w:t>Column Head</w:t>
            </w:r>
          </w:p>
        </w:tc>
        <w:tc>
          <w:tcPr>
            <w:tcW w:w="1000" w:type="pct"/>
          </w:tcPr>
          <w:p w14:paraId="71A07915" w14:textId="77777777" w:rsidR="008928E1" w:rsidRDefault="00000000">
            <w:pPr>
              <w:pStyle w:val="NoSpacing"/>
            </w:pPr>
            <w:r>
              <w:t>Column Head</w:t>
            </w:r>
          </w:p>
        </w:tc>
        <w:tc>
          <w:tcPr>
            <w:tcW w:w="999" w:type="pct"/>
          </w:tcPr>
          <w:p w14:paraId="34521F54" w14:textId="77777777" w:rsidR="008928E1" w:rsidRDefault="00000000">
            <w:pPr>
              <w:pStyle w:val="NoSpacing"/>
            </w:pPr>
            <w:r>
              <w:t>Column Head</w:t>
            </w:r>
          </w:p>
        </w:tc>
      </w:tr>
      <w:tr w:rsidR="008928E1" w14:paraId="1535636C" w14:textId="77777777" w:rsidTr="008928E1">
        <w:tc>
          <w:tcPr>
            <w:tcW w:w="1001" w:type="pct"/>
          </w:tcPr>
          <w:p w14:paraId="0E89906D" w14:textId="77777777" w:rsidR="008928E1" w:rsidRDefault="00000000">
            <w:pPr>
              <w:pStyle w:val="NoSpacing"/>
            </w:pPr>
            <w:r>
              <w:t>Row Head</w:t>
            </w:r>
          </w:p>
        </w:tc>
        <w:tc>
          <w:tcPr>
            <w:tcW w:w="1000" w:type="pct"/>
          </w:tcPr>
          <w:p w14:paraId="4E765FD1" w14:textId="77777777" w:rsidR="008928E1" w:rsidRDefault="00000000">
            <w:pPr>
              <w:pStyle w:val="NoSpacing"/>
            </w:pPr>
            <w:r>
              <w:t>123</w:t>
            </w:r>
          </w:p>
        </w:tc>
        <w:tc>
          <w:tcPr>
            <w:tcW w:w="1000" w:type="pct"/>
          </w:tcPr>
          <w:p w14:paraId="2E46B3F0" w14:textId="77777777" w:rsidR="008928E1" w:rsidRDefault="00000000">
            <w:pPr>
              <w:pStyle w:val="NoSpacing"/>
            </w:pPr>
            <w:r>
              <w:t>123</w:t>
            </w:r>
          </w:p>
        </w:tc>
        <w:tc>
          <w:tcPr>
            <w:tcW w:w="1000" w:type="pct"/>
          </w:tcPr>
          <w:p w14:paraId="6971BDF3" w14:textId="77777777" w:rsidR="008928E1" w:rsidRDefault="00000000">
            <w:pPr>
              <w:pStyle w:val="NoSpacing"/>
            </w:pPr>
            <w:r>
              <w:t>123</w:t>
            </w:r>
          </w:p>
        </w:tc>
        <w:tc>
          <w:tcPr>
            <w:tcW w:w="999" w:type="pct"/>
          </w:tcPr>
          <w:p w14:paraId="4B910338" w14:textId="77777777" w:rsidR="008928E1" w:rsidRDefault="00000000">
            <w:pPr>
              <w:pStyle w:val="NoSpacing"/>
            </w:pPr>
            <w:r>
              <w:t>123</w:t>
            </w:r>
          </w:p>
        </w:tc>
      </w:tr>
      <w:tr w:rsidR="008928E1" w14:paraId="2210272F" w14:textId="77777777" w:rsidTr="008928E1">
        <w:tc>
          <w:tcPr>
            <w:tcW w:w="1001" w:type="pct"/>
          </w:tcPr>
          <w:p w14:paraId="3C33E52D" w14:textId="77777777" w:rsidR="008928E1" w:rsidRDefault="00000000">
            <w:pPr>
              <w:pStyle w:val="NoSpacing"/>
            </w:pPr>
            <w:r>
              <w:t>Row Head</w:t>
            </w:r>
          </w:p>
        </w:tc>
        <w:tc>
          <w:tcPr>
            <w:tcW w:w="1000" w:type="pct"/>
          </w:tcPr>
          <w:p w14:paraId="2DEBB901" w14:textId="77777777" w:rsidR="008928E1" w:rsidRDefault="00000000">
            <w:pPr>
              <w:pStyle w:val="NoSpacing"/>
            </w:pPr>
            <w:r>
              <w:t>456</w:t>
            </w:r>
          </w:p>
        </w:tc>
        <w:tc>
          <w:tcPr>
            <w:tcW w:w="1000" w:type="pct"/>
          </w:tcPr>
          <w:p w14:paraId="4725240B" w14:textId="77777777" w:rsidR="008928E1" w:rsidRDefault="00000000">
            <w:pPr>
              <w:pStyle w:val="NoSpacing"/>
            </w:pPr>
            <w:r>
              <w:t>456</w:t>
            </w:r>
          </w:p>
        </w:tc>
        <w:tc>
          <w:tcPr>
            <w:tcW w:w="1000" w:type="pct"/>
          </w:tcPr>
          <w:p w14:paraId="76E49B2D" w14:textId="77777777" w:rsidR="008928E1" w:rsidRDefault="00000000">
            <w:pPr>
              <w:pStyle w:val="NoSpacing"/>
            </w:pPr>
            <w:r>
              <w:t>456</w:t>
            </w:r>
          </w:p>
        </w:tc>
        <w:tc>
          <w:tcPr>
            <w:tcW w:w="999" w:type="pct"/>
          </w:tcPr>
          <w:p w14:paraId="3B21FDBE" w14:textId="77777777" w:rsidR="008928E1" w:rsidRDefault="00000000">
            <w:pPr>
              <w:pStyle w:val="NoSpacing"/>
            </w:pPr>
            <w:r>
              <w:t>456</w:t>
            </w:r>
          </w:p>
        </w:tc>
      </w:tr>
      <w:tr w:rsidR="008928E1" w14:paraId="337E4633" w14:textId="77777777" w:rsidTr="008928E1">
        <w:tc>
          <w:tcPr>
            <w:tcW w:w="1001" w:type="pct"/>
          </w:tcPr>
          <w:p w14:paraId="60BC02A6" w14:textId="77777777" w:rsidR="008928E1" w:rsidRDefault="00000000">
            <w:pPr>
              <w:pStyle w:val="NoSpacing"/>
            </w:pPr>
            <w:r>
              <w:t>Row Head</w:t>
            </w:r>
          </w:p>
        </w:tc>
        <w:tc>
          <w:tcPr>
            <w:tcW w:w="1000" w:type="pct"/>
          </w:tcPr>
          <w:p w14:paraId="27BE8C92" w14:textId="77777777" w:rsidR="008928E1" w:rsidRDefault="00000000">
            <w:pPr>
              <w:pStyle w:val="NoSpacing"/>
            </w:pPr>
            <w:r>
              <w:t>789</w:t>
            </w:r>
          </w:p>
        </w:tc>
        <w:tc>
          <w:tcPr>
            <w:tcW w:w="1000" w:type="pct"/>
          </w:tcPr>
          <w:p w14:paraId="542396F4" w14:textId="77777777" w:rsidR="008928E1" w:rsidRDefault="00000000">
            <w:pPr>
              <w:pStyle w:val="NoSpacing"/>
            </w:pPr>
            <w:r>
              <w:t>789</w:t>
            </w:r>
          </w:p>
        </w:tc>
        <w:tc>
          <w:tcPr>
            <w:tcW w:w="1000" w:type="pct"/>
          </w:tcPr>
          <w:p w14:paraId="7462E747" w14:textId="77777777" w:rsidR="008928E1" w:rsidRDefault="00000000">
            <w:pPr>
              <w:pStyle w:val="NoSpacing"/>
            </w:pPr>
            <w:r>
              <w:t>789</w:t>
            </w:r>
          </w:p>
        </w:tc>
        <w:tc>
          <w:tcPr>
            <w:tcW w:w="999" w:type="pct"/>
          </w:tcPr>
          <w:p w14:paraId="114F8A6E" w14:textId="77777777" w:rsidR="008928E1" w:rsidRDefault="00000000">
            <w:pPr>
              <w:pStyle w:val="NoSpacing"/>
            </w:pPr>
            <w:r>
              <w:t>789</w:t>
            </w:r>
          </w:p>
        </w:tc>
      </w:tr>
      <w:tr w:rsidR="008928E1" w14:paraId="465E44E3" w14:textId="77777777" w:rsidTr="008928E1">
        <w:tc>
          <w:tcPr>
            <w:tcW w:w="1001" w:type="pct"/>
          </w:tcPr>
          <w:p w14:paraId="0E57DAC3" w14:textId="77777777" w:rsidR="008928E1" w:rsidRDefault="00000000">
            <w:pPr>
              <w:pStyle w:val="NoSpacing"/>
            </w:pPr>
            <w:r>
              <w:t>Row Head</w:t>
            </w:r>
          </w:p>
        </w:tc>
        <w:tc>
          <w:tcPr>
            <w:tcW w:w="1000" w:type="pct"/>
          </w:tcPr>
          <w:p w14:paraId="5B702236" w14:textId="77777777" w:rsidR="008928E1" w:rsidRDefault="00000000">
            <w:pPr>
              <w:pStyle w:val="NoSpacing"/>
            </w:pPr>
            <w:r>
              <w:t>123</w:t>
            </w:r>
          </w:p>
        </w:tc>
        <w:tc>
          <w:tcPr>
            <w:tcW w:w="1000" w:type="pct"/>
          </w:tcPr>
          <w:p w14:paraId="77DD545F" w14:textId="77777777" w:rsidR="008928E1" w:rsidRDefault="00000000">
            <w:pPr>
              <w:pStyle w:val="NoSpacing"/>
            </w:pPr>
            <w:r>
              <w:t>123</w:t>
            </w:r>
          </w:p>
        </w:tc>
        <w:tc>
          <w:tcPr>
            <w:tcW w:w="1000" w:type="pct"/>
          </w:tcPr>
          <w:p w14:paraId="00FAA9CA" w14:textId="77777777" w:rsidR="008928E1" w:rsidRDefault="00000000">
            <w:pPr>
              <w:pStyle w:val="NoSpacing"/>
            </w:pPr>
            <w:r>
              <w:t>123</w:t>
            </w:r>
          </w:p>
        </w:tc>
        <w:tc>
          <w:tcPr>
            <w:tcW w:w="999" w:type="pct"/>
          </w:tcPr>
          <w:p w14:paraId="2B5065CD" w14:textId="77777777" w:rsidR="008928E1" w:rsidRDefault="00000000">
            <w:pPr>
              <w:pStyle w:val="NoSpacing"/>
            </w:pPr>
            <w:r>
              <w:t>123</w:t>
            </w:r>
          </w:p>
        </w:tc>
      </w:tr>
      <w:tr w:rsidR="008928E1" w14:paraId="5F9DE820" w14:textId="77777777" w:rsidTr="008928E1">
        <w:tc>
          <w:tcPr>
            <w:tcW w:w="1001" w:type="pct"/>
          </w:tcPr>
          <w:p w14:paraId="29858E86" w14:textId="77777777" w:rsidR="008928E1" w:rsidRDefault="00000000">
            <w:pPr>
              <w:pStyle w:val="NoSpacing"/>
            </w:pPr>
            <w:r>
              <w:t>Row Head</w:t>
            </w:r>
          </w:p>
        </w:tc>
        <w:tc>
          <w:tcPr>
            <w:tcW w:w="1000" w:type="pct"/>
          </w:tcPr>
          <w:p w14:paraId="03B96295" w14:textId="77777777" w:rsidR="008928E1" w:rsidRDefault="00000000">
            <w:pPr>
              <w:pStyle w:val="NoSpacing"/>
            </w:pPr>
            <w:r>
              <w:t>456</w:t>
            </w:r>
          </w:p>
        </w:tc>
        <w:tc>
          <w:tcPr>
            <w:tcW w:w="1000" w:type="pct"/>
          </w:tcPr>
          <w:p w14:paraId="7A078E92" w14:textId="77777777" w:rsidR="008928E1" w:rsidRDefault="00000000">
            <w:pPr>
              <w:pStyle w:val="NoSpacing"/>
            </w:pPr>
            <w:r>
              <w:t>456</w:t>
            </w:r>
          </w:p>
        </w:tc>
        <w:tc>
          <w:tcPr>
            <w:tcW w:w="1000" w:type="pct"/>
          </w:tcPr>
          <w:p w14:paraId="0EF569D5" w14:textId="77777777" w:rsidR="008928E1" w:rsidRDefault="00000000">
            <w:pPr>
              <w:pStyle w:val="NoSpacing"/>
            </w:pPr>
            <w:r>
              <w:t>456</w:t>
            </w:r>
          </w:p>
        </w:tc>
        <w:tc>
          <w:tcPr>
            <w:tcW w:w="999" w:type="pct"/>
          </w:tcPr>
          <w:p w14:paraId="77E9CE57" w14:textId="77777777" w:rsidR="008928E1" w:rsidRDefault="00000000">
            <w:pPr>
              <w:pStyle w:val="NoSpacing"/>
            </w:pPr>
            <w:r>
              <w:t>456</w:t>
            </w:r>
          </w:p>
        </w:tc>
      </w:tr>
      <w:tr w:rsidR="008928E1" w14:paraId="60A0649A" w14:textId="77777777" w:rsidTr="008928E1">
        <w:tc>
          <w:tcPr>
            <w:tcW w:w="1001" w:type="pct"/>
          </w:tcPr>
          <w:p w14:paraId="47DEEB84" w14:textId="77777777" w:rsidR="008928E1" w:rsidRDefault="00000000">
            <w:pPr>
              <w:pStyle w:val="NoSpacing"/>
            </w:pPr>
            <w:r>
              <w:t>Row Head</w:t>
            </w:r>
          </w:p>
        </w:tc>
        <w:tc>
          <w:tcPr>
            <w:tcW w:w="1000" w:type="pct"/>
          </w:tcPr>
          <w:p w14:paraId="4DFE0344" w14:textId="77777777" w:rsidR="008928E1" w:rsidRDefault="00000000">
            <w:pPr>
              <w:pStyle w:val="NoSpacing"/>
            </w:pPr>
            <w:r>
              <w:t>789</w:t>
            </w:r>
          </w:p>
        </w:tc>
        <w:tc>
          <w:tcPr>
            <w:tcW w:w="1000" w:type="pct"/>
          </w:tcPr>
          <w:p w14:paraId="24D01927" w14:textId="77777777" w:rsidR="008928E1" w:rsidRDefault="00000000">
            <w:pPr>
              <w:pStyle w:val="NoSpacing"/>
            </w:pPr>
            <w:r>
              <w:t>789</w:t>
            </w:r>
          </w:p>
        </w:tc>
        <w:tc>
          <w:tcPr>
            <w:tcW w:w="1000" w:type="pct"/>
          </w:tcPr>
          <w:p w14:paraId="5E61B1A7" w14:textId="77777777" w:rsidR="008928E1" w:rsidRDefault="00000000">
            <w:pPr>
              <w:pStyle w:val="NoSpacing"/>
            </w:pPr>
            <w:r>
              <w:t>789</w:t>
            </w:r>
          </w:p>
        </w:tc>
        <w:tc>
          <w:tcPr>
            <w:tcW w:w="999" w:type="pct"/>
          </w:tcPr>
          <w:p w14:paraId="64E92E41" w14:textId="77777777" w:rsidR="008928E1" w:rsidRDefault="00000000">
            <w:pPr>
              <w:pStyle w:val="NoSpacing"/>
            </w:pPr>
            <w:r>
              <w:t>789</w:t>
            </w:r>
          </w:p>
        </w:tc>
      </w:tr>
    </w:tbl>
    <w:p w14:paraId="044064DB" w14:textId="77777777" w:rsidR="008928E1" w:rsidRDefault="00000000">
      <w:pPr>
        <w:pStyle w:val="TableFigure"/>
      </w:pPr>
      <w:r>
        <w:rPr>
          <w:rStyle w:val="Emphasis"/>
        </w:rPr>
        <w:t>Note</w:t>
      </w:r>
      <w:r>
        <w:t xml:space="preserve">:  </w:t>
      </w:r>
      <w:sdt>
        <w:sdtPr>
          <w:id w:val="668988805"/>
          <w:placeholder>
            <w:docPart w:val="E9A3A0FAB248794EA73C579A95D40A22"/>
          </w:placeholder>
          <w:temporary/>
          <w:showingPlcHdr/>
          <w15:appearance w15:val="hidden"/>
        </w:sdtPr>
        <w:sdtContent>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to get the spacing between table and note.  Tables in APA format can use single or 1.5 line spacing.  Include a heading for every row and column, even if the content seems obvious.  To insert a table, on the Insert tab, tap Table.  New tables that you create in this document use APA format by default.]</w:t>
          </w:r>
        </w:sdtContent>
      </w:sdt>
    </w:p>
    <w:p w14:paraId="3569D12B" w14:textId="77777777" w:rsidR="008928E1" w:rsidRDefault="00000000">
      <w:pPr>
        <w:pStyle w:val="SectionTitle"/>
      </w:pPr>
      <w:bookmarkStart w:id="4" w:name="_Toc409783213"/>
      <w:r>
        <w:lastRenderedPageBreak/>
        <w:t>Figures</w:t>
      </w:r>
      <w:bookmarkEnd w:id="4"/>
    </w:p>
    <w:p w14:paraId="378A2D85" w14:textId="5390FB6A" w:rsidR="008928E1" w:rsidRDefault="00BD6C15">
      <w:pPr>
        <w:pStyle w:val="NoSpacing"/>
      </w:pPr>
      <w:r>
        <w:rPr>
          <w:noProof/>
        </w:rPr>
        <w:drawing>
          <wp:inline distT="0" distB="0" distL="0" distR="0" wp14:anchorId="7C09FCE0" wp14:editId="79AD3C77">
            <wp:extent cx="5943600" cy="3238500"/>
            <wp:effectExtent l="0" t="0" r="0" b="0"/>
            <wp:docPr id="1922021224" name="Picture 1" descr="An old person in a hospital g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021224" name="Picture 1" descr="An old person in a hospital gow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943600" cy="3238500"/>
                    </a:xfrm>
                    <a:prstGeom prst="rect">
                      <a:avLst/>
                    </a:prstGeom>
                  </pic:spPr>
                </pic:pic>
              </a:graphicData>
            </a:graphic>
          </wp:inline>
        </w:drawing>
      </w:r>
      <w:r>
        <w:rPr>
          <w:noProof/>
          <w:lang w:eastAsia="en-US"/>
        </w:rPr>
        <w:drawing>
          <wp:inline distT="0" distB="0" distL="0" distR="0" wp14:anchorId="17B8C84E" wp14:editId="26E90D2A">
            <wp:extent cx="5934075" cy="3956051"/>
            <wp:effectExtent l="0" t="0" r="0" b="6350"/>
            <wp:docPr id="2" name="Picture 2" title="Fish and colorful c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h_96ppi.png"/>
                    <pic:cNvPicPr/>
                  </pic:nvPicPr>
                  <pic:blipFill>
                    <a:blip r:embed="rId10">
                      <a:extLst>
                        <a:ext uri="{28A0092B-C50C-407E-A947-70E740481C1C}">
                          <a14:useLocalDpi xmlns:a14="http://schemas.microsoft.com/office/drawing/2010/main" val="0"/>
                        </a:ext>
                      </a:extLst>
                    </a:blip>
                    <a:stretch>
                      <a:fillRect/>
                    </a:stretch>
                  </pic:blipFill>
                  <pic:spPr>
                    <a:xfrm>
                      <a:off x="0" y="0"/>
                      <a:ext cx="5935782" cy="3957189"/>
                    </a:xfrm>
                    <a:prstGeom prst="rect">
                      <a:avLst/>
                    </a:prstGeom>
                  </pic:spPr>
                </pic:pic>
              </a:graphicData>
            </a:graphic>
          </wp:inline>
        </w:drawing>
      </w:r>
    </w:p>
    <w:p w14:paraId="4B012B6C" w14:textId="77777777" w:rsidR="008928E1" w:rsidRDefault="00000000">
      <w:pPr>
        <w:pStyle w:val="TOCHeading"/>
      </w:pPr>
      <w:r>
        <w:rPr>
          <w:rStyle w:val="Emphasis"/>
        </w:rPr>
        <w:lastRenderedPageBreak/>
        <w:t>Figure 1</w:t>
      </w:r>
      <w:r>
        <w:t xml:space="preserve">. </w:t>
      </w:r>
      <w:sdt>
        <w:sdtPr>
          <w:id w:val="1420302148"/>
          <w:placeholder>
            <w:docPart w:val="65C500F79EAC8A4FA4EAC7CBA930E8F0"/>
          </w:placeholder>
          <w:temporary/>
          <w:showingPlcHdr/>
          <w15:appearance w15:val="hidden"/>
          <w:text/>
        </w:sdtPr>
        <w:sdtContent>
          <w:r>
            <w:t>[Include all figures in their own section, following references (and footnotes and tables, if applicable).  Include a numbered caption for each figure.  Use the Table/Figure style for easy spacing between figure and caption.]</w:t>
          </w:r>
        </w:sdtContent>
      </w:sdt>
    </w:p>
    <w:p w14:paraId="06EB9B7D" w14:textId="77777777" w:rsidR="008928E1" w:rsidRDefault="00000000">
      <w:pPr>
        <w:pStyle w:val="TableFigure"/>
      </w:pPr>
      <w:r>
        <w:t xml:space="preserve">For more information about all elements of APA formatting, please consult the </w:t>
      </w:r>
      <w:r>
        <w:rPr>
          <w:rStyle w:val="Emphasis"/>
        </w:rPr>
        <w:t>APA Style Manual, 6th Edition</w:t>
      </w:r>
      <w:r>
        <w:t>.</w:t>
      </w:r>
    </w:p>
    <w:sectPr w:rsidR="008928E1">
      <w:headerReference w:type="default" r:id="rId11"/>
      <w:headerReference w:type="first" r:id="rId12"/>
      <w:footnotePr>
        <w:pos w:val="beneathText"/>
      </w:footnotePr>
      <w:pgSz w:w="12240" w:h="15840" w:code="1"/>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37C5" w14:textId="77777777" w:rsidR="00BD528C" w:rsidRDefault="00BD528C">
      <w:pPr>
        <w:spacing w:line="240" w:lineRule="auto"/>
      </w:pPr>
      <w:r>
        <w:separator/>
      </w:r>
    </w:p>
  </w:endnote>
  <w:endnote w:type="continuationSeparator" w:id="0">
    <w:p w14:paraId="4E38BB22" w14:textId="77777777" w:rsidR="00BD528C" w:rsidRDefault="00BD52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6BB9" w14:textId="77777777" w:rsidR="00BD528C" w:rsidRDefault="00BD528C">
      <w:pPr>
        <w:spacing w:line="240" w:lineRule="auto"/>
      </w:pPr>
      <w:r>
        <w:separator/>
      </w:r>
    </w:p>
  </w:footnote>
  <w:footnote w:type="continuationSeparator" w:id="0">
    <w:p w14:paraId="2B1659D3" w14:textId="77777777" w:rsidR="00BD528C" w:rsidRDefault="00BD52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E794" w14:textId="5AACC355" w:rsidR="008928E1" w:rsidRDefault="00000000">
    <w:pPr>
      <w:pStyle w:val="Header"/>
    </w:pPr>
    <w:sdt>
      <w:sdtPr>
        <w:rPr>
          <w:rStyle w:val="Strong"/>
        </w:rPr>
        <w:alias w:val="Running head"/>
        <w:tag w:val=""/>
        <w:id w:val="1072628492"/>
        <w:placeholder>
          <w:docPart w:val="E9A3A0FAB248794EA73C579A95D40A22"/>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AE4F01">
          <w:rPr>
            <w:rStyle w:val="Strong"/>
          </w:rPr>
          <w:t>Case study paper</w:t>
        </w:r>
      </w:sdtContent>
    </w:sdt>
    <w:r>
      <w:rPr>
        <w:rStyle w:val="Strong"/>
      </w:rPr>
      <w:t xml:space="preserve"> </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9</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504A" w14:textId="46B36C1E" w:rsidR="008928E1" w:rsidRDefault="00262004">
    <w:pPr>
      <w:pStyle w:val="Header"/>
      <w:rPr>
        <w:rStyle w:val="Strong"/>
      </w:rPr>
    </w:pPr>
    <w:r>
      <w:t>Case study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6472D204"/>
    <w:lvl w:ilvl="0">
      <w:start w:val="1"/>
      <w:numFmt w:val="bullet"/>
      <w:pStyle w:val="ListBullet"/>
      <w:lvlText w:val=""/>
      <w:lvlJc w:val="left"/>
      <w:pPr>
        <w:tabs>
          <w:tab w:val="num" w:pos="1080"/>
        </w:tabs>
        <w:ind w:left="1080" w:hanging="360"/>
      </w:pPr>
      <w:rPr>
        <w:rFonts w:ascii="Symbol" w:hAnsi="Symbol" w:hint="default"/>
      </w:rPr>
    </w:lvl>
  </w:abstractNum>
  <w:num w:numId="1" w16cid:durableId="65032851">
    <w:abstractNumId w:val="9"/>
  </w:num>
  <w:num w:numId="2" w16cid:durableId="1260528446">
    <w:abstractNumId w:val="7"/>
  </w:num>
  <w:num w:numId="3" w16cid:durableId="1980722589">
    <w:abstractNumId w:val="6"/>
  </w:num>
  <w:num w:numId="4" w16cid:durableId="754395917">
    <w:abstractNumId w:val="5"/>
  </w:num>
  <w:num w:numId="5" w16cid:durableId="809706622">
    <w:abstractNumId w:val="4"/>
  </w:num>
  <w:num w:numId="6" w16cid:durableId="1223130653">
    <w:abstractNumId w:val="8"/>
  </w:num>
  <w:num w:numId="7" w16cid:durableId="86318932">
    <w:abstractNumId w:val="3"/>
  </w:num>
  <w:num w:numId="8" w16cid:durableId="410277645">
    <w:abstractNumId w:val="2"/>
  </w:num>
  <w:num w:numId="9" w16cid:durableId="677468168">
    <w:abstractNumId w:val="1"/>
  </w:num>
  <w:num w:numId="10" w16cid:durableId="591356706">
    <w:abstractNumId w:val="0"/>
  </w:num>
  <w:num w:numId="11" w16cid:durableId="35796778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04"/>
    <w:rsid w:val="00136908"/>
    <w:rsid w:val="001603AD"/>
    <w:rsid w:val="00262004"/>
    <w:rsid w:val="00263DFA"/>
    <w:rsid w:val="00265D42"/>
    <w:rsid w:val="0034278B"/>
    <w:rsid w:val="003A61C8"/>
    <w:rsid w:val="00463ACE"/>
    <w:rsid w:val="0052154F"/>
    <w:rsid w:val="005833F3"/>
    <w:rsid w:val="006A3EB0"/>
    <w:rsid w:val="00750A96"/>
    <w:rsid w:val="0082709B"/>
    <w:rsid w:val="008928E1"/>
    <w:rsid w:val="00950763"/>
    <w:rsid w:val="00954D0F"/>
    <w:rsid w:val="00987183"/>
    <w:rsid w:val="00995664"/>
    <w:rsid w:val="00A241AD"/>
    <w:rsid w:val="00A25D28"/>
    <w:rsid w:val="00A451E4"/>
    <w:rsid w:val="00AD230F"/>
    <w:rsid w:val="00AE4F01"/>
    <w:rsid w:val="00AF38F2"/>
    <w:rsid w:val="00B4330C"/>
    <w:rsid w:val="00BD528C"/>
    <w:rsid w:val="00BD6C15"/>
    <w:rsid w:val="00C076B5"/>
    <w:rsid w:val="00CB3B8D"/>
    <w:rsid w:val="00D21B7A"/>
    <w:rsid w:val="00DC3D99"/>
    <w:rsid w:val="00FB6AB3"/>
    <w:rsid w:val="00FF01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E6D3"/>
  <w15:chartTrackingRefBased/>
  <w15:docId w15:val="{688FE39E-9E75-6C47-93D2-2957E0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 w:type="character" w:customStyle="1" w:styleId="markedcontent">
    <w:name w:val="markedcontent"/>
    <w:basedOn w:val="DefaultParagraphFont"/>
    <w:rsid w:val="00262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emdasa/Library/Containers/com.microsoft.Word/Data/Library/Application%20Support/Microsoft/Office/16.0/DTS/en-US%7b635538C6-808C-4B4E-B9BE-72F266692F33%7d/%7b9349547D-C7F2-AF4A-B804-74F78CAA31E4%7dtf1000209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84CE6BAE747249A2C23DDF504FC76D"/>
        <w:category>
          <w:name w:val="General"/>
          <w:gallery w:val="placeholder"/>
        </w:category>
        <w:types>
          <w:type w:val="bbPlcHdr"/>
        </w:types>
        <w:behaviors>
          <w:behavior w:val="content"/>
        </w:behaviors>
        <w:guid w:val="{22CA7941-738B-164B-A392-0205E4488E32}"/>
      </w:docPartPr>
      <w:docPartBody>
        <w:p w:rsidR="000E0DCE" w:rsidRDefault="00000000">
          <w:pPr>
            <w:pStyle w:val="9684CE6BAE747249A2C23DDF504FC76D"/>
          </w:pPr>
          <w:r>
            <w:t>[Title Here, up to 12 Words, on One to Two Lines]</w:t>
          </w:r>
        </w:p>
      </w:docPartBody>
    </w:docPart>
    <w:docPart>
      <w:docPartPr>
        <w:name w:val="765B2D09A31400478CE6F8D47AEF0A9A"/>
        <w:category>
          <w:name w:val="General"/>
          <w:gallery w:val="placeholder"/>
        </w:category>
        <w:types>
          <w:type w:val="bbPlcHdr"/>
        </w:types>
        <w:behaviors>
          <w:behavior w:val="content"/>
        </w:behaviors>
        <w:guid w:val="{47F03824-4436-9E44-B9E2-A989205D8E0C}"/>
      </w:docPartPr>
      <w:docPartBody>
        <w:p w:rsidR="000E0DCE" w:rsidRDefault="00000000">
          <w:pPr>
            <w:pStyle w:val="765B2D09A31400478CE6F8D47AEF0A9A"/>
          </w:pPr>
          <w:r>
            <w:t xml:space="preserve">[Add footnotes, if any, on their own page following references.  For APA formatting requirements, it’s easy to just type your own footnote references and notes.  To format a footnote reference, select the number and then apply the Footnote Reference.  The body of a footnote, such as this example, uses the Normal text style.  </w:t>
          </w:r>
          <w:r>
            <w:rPr>
              <w:rStyle w:val="Emphasis"/>
            </w:rPr>
            <w:t>(Note:  If you delete this sample footnote, don’t forget to delete its in-text reference as well.)</w:t>
          </w:r>
          <w:r>
            <w:t>]</w:t>
          </w:r>
        </w:p>
      </w:docPartBody>
    </w:docPart>
    <w:docPart>
      <w:docPartPr>
        <w:name w:val="5956D0D227D4694393FB8B68F7AE6127"/>
        <w:category>
          <w:name w:val="General"/>
          <w:gallery w:val="placeholder"/>
        </w:category>
        <w:types>
          <w:type w:val="bbPlcHdr"/>
        </w:types>
        <w:behaviors>
          <w:behavior w:val="content"/>
        </w:behaviors>
        <w:guid w:val="{3B33AE98-9BAD-4642-AE20-E8DD5CC3370A}"/>
      </w:docPartPr>
      <w:docPartBody>
        <w:p w:rsidR="000E0DCE" w:rsidRDefault="00000000">
          <w:pPr>
            <w:pStyle w:val="5956D0D227D4694393FB8B68F7AE6127"/>
          </w:pPr>
          <w:r>
            <w:rPr>
              <w:rStyle w:val="Emphasis"/>
            </w:rPr>
            <w:t>[Table Title]</w:t>
          </w:r>
        </w:p>
      </w:docPartBody>
    </w:docPart>
    <w:docPart>
      <w:docPartPr>
        <w:name w:val="E9A3A0FAB248794EA73C579A95D40A22"/>
        <w:category>
          <w:name w:val="General"/>
          <w:gallery w:val="placeholder"/>
        </w:category>
        <w:types>
          <w:type w:val="bbPlcHdr"/>
        </w:types>
        <w:behaviors>
          <w:behavior w:val="content"/>
        </w:behaviors>
        <w:guid w:val="{168152CA-BB61-BB40-9F6C-D3E7C2FB3BC1}"/>
      </w:docPartPr>
      <w:docPartBody>
        <w:p w:rsidR="000E0DCE" w:rsidRDefault="00000000">
          <w:pPr>
            <w:pStyle w:val="E9A3A0FAB248794EA73C579A95D40A22"/>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to get the spacing between table and note.  Tables in APA format can use single or 1.5 line spacing.  Include a heading for every row and column, even if the content seems obvious.  To insert a table, on the Insert tab, tap Table.  New tables that you create in this document use APA format by default.]</w:t>
          </w:r>
        </w:p>
      </w:docPartBody>
    </w:docPart>
    <w:docPart>
      <w:docPartPr>
        <w:name w:val="65C500F79EAC8A4FA4EAC7CBA930E8F0"/>
        <w:category>
          <w:name w:val="General"/>
          <w:gallery w:val="placeholder"/>
        </w:category>
        <w:types>
          <w:type w:val="bbPlcHdr"/>
        </w:types>
        <w:behaviors>
          <w:behavior w:val="content"/>
        </w:behaviors>
        <w:guid w:val="{1B005A45-C3AC-3243-B3AA-A529E386A081}"/>
      </w:docPartPr>
      <w:docPartBody>
        <w:p w:rsidR="000E0DCE" w:rsidRDefault="00000000">
          <w:pPr>
            <w:pStyle w:val="65C500F79EAC8A4FA4EAC7CBA930E8F0"/>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E3"/>
    <w:rsid w:val="000E0DCE"/>
    <w:rsid w:val="001168E3"/>
    <w:rsid w:val="0055488E"/>
    <w:rsid w:val="00691EF4"/>
    <w:rsid w:val="00B4330C"/>
    <w:rsid w:val="00D21B7A"/>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lang w:val="en-US" w:eastAsia="ja-JP"/>
      <w14:ligatures w14:val="none"/>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lang w:val="en-US" w:eastAsia="ja-JP"/>
      <w14:ligatures w14:val="none"/>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84CE6BAE747249A2C23DDF504FC76D">
    <w:name w:val="9684CE6BAE747249A2C23DDF504FC76D"/>
  </w:style>
  <w:style w:type="paragraph" w:customStyle="1" w:styleId="5D7EDEAE6CE78149962BCBAA6A67B9C9">
    <w:name w:val="5D7EDEAE6CE78149962BCBAA6A67B9C9"/>
  </w:style>
  <w:style w:type="paragraph" w:customStyle="1" w:styleId="8767C55E261BE04BB6D80478456A60BC">
    <w:name w:val="8767C55E261BE04BB6D80478456A60BC"/>
  </w:style>
  <w:style w:type="paragraph" w:customStyle="1" w:styleId="B3FB27E1F432EA459DBDC59EAA37BD30">
    <w:name w:val="B3FB27E1F432EA459DBDC59EAA37BD30"/>
  </w:style>
  <w:style w:type="character" w:styleId="Emphasis">
    <w:name w:val="Emphasis"/>
    <w:basedOn w:val="DefaultParagraphFont"/>
    <w:uiPriority w:val="20"/>
    <w:unhideWhenUsed/>
    <w:qFormat/>
    <w:rPr>
      <w:i/>
      <w:iCs/>
    </w:rPr>
  </w:style>
  <w:style w:type="paragraph" w:customStyle="1" w:styleId="39D24900E8597241827C03B9EBE6CFD1">
    <w:name w:val="39D24900E8597241827C03B9EBE6CFD1"/>
  </w:style>
  <w:style w:type="paragraph" w:customStyle="1" w:styleId="C3E2AD8E76615A41AE0D6B5CE29E46D6">
    <w:name w:val="C3E2AD8E76615A41AE0D6B5CE29E46D6"/>
  </w:style>
  <w:style w:type="paragraph" w:customStyle="1" w:styleId="DB79F9AF5814AD4294248F360C9419E9">
    <w:name w:val="DB79F9AF5814AD4294248F360C9419E9"/>
  </w:style>
  <w:style w:type="paragraph" w:customStyle="1" w:styleId="18EB39EC819D0F4A891D3C71BA10275E">
    <w:name w:val="18EB39EC819D0F4A891D3C71BA10275E"/>
  </w:style>
  <w:style w:type="paragraph" w:customStyle="1" w:styleId="6917760AA411454F8A51CACB23AE851F">
    <w:name w:val="6917760AA411454F8A51CACB23AE851F"/>
  </w:style>
  <w:style w:type="paragraph" w:customStyle="1" w:styleId="7612E8D473452349B79FDA3529F73C15">
    <w:name w:val="7612E8D473452349B79FDA3529F73C15"/>
  </w:style>
  <w:style w:type="paragraph" w:customStyle="1" w:styleId="C005D63F6E92FD4788F4A0C3840E975F">
    <w:name w:val="C005D63F6E92FD4788F4A0C3840E975F"/>
  </w:style>
  <w:style w:type="paragraph" w:customStyle="1" w:styleId="08B7CFA7EEAAA54D9B582B5C8933738C">
    <w:name w:val="08B7CFA7EEAAA54D9B582B5C8933738C"/>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val="en-US" w:eastAsia="ja-JP"/>
      <w14:ligatures w14:val="none"/>
    </w:rPr>
  </w:style>
  <w:style w:type="paragraph" w:customStyle="1" w:styleId="45B4122E81622D45BBBD903042CAEAAB">
    <w:name w:val="45B4122E81622D45BBBD903042CAEAAB"/>
  </w:style>
  <w:style w:type="paragraph" w:customStyle="1" w:styleId="26048F4A13BF2C47A606DE28FBF2F9E7">
    <w:name w:val="26048F4A13BF2C47A606DE28FBF2F9E7"/>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val="en-US" w:eastAsia="ja-JP"/>
      <w14:ligatures w14:val="none"/>
    </w:rPr>
  </w:style>
  <w:style w:type="paragraph" w:customStyle="1" w:styleId="3F747EC9D223D4469DA575804F7FEB2E">
    <w:name w:val="3F747EC9D223D4469DA575804F7FEB2E"/>
  </w:style>
  <w:style w:type="paragraph" w:customStyle="1" w:styleId="8A3DFD6527E16A4EA548CF45EB42E7D6">
    <w:name w:val="8A3DFD6527E16A4EA548CF45EB42E7D6"/>
  </w:style>
  <w:style w:type="paragraph" w:customStyle="1" w:styleId="9419AF9E79B4C6438D251F46DF876E06">
    <w:name w:val="9419AF9E79B4C6438D251F46DF876E06"/>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val="en-US" w:eastAsia="ja-JP"/>
      <w14:ligatures w14:val="none"/>
    </w:rPr>
  </w:style>
  <w:style w:type="paragraph" w:customStyle="1" w:styleId="98055D36BE205949AE520FD53F5CFAE5">
    <w:name w:val="98055D36BE205949AE520FD53F5CFAE5"/>
  </w:style>
  <w:style w:type="paragraph" w:customStyle="1" w:styleId="371347272D37944F99E250D2FD8C5536">
    <w:name w:val="371347272D37944F99E250D2FD8C5536"/>
  </w:style>
  <w:style w:type="paragraph" w:customStyle="1" w:styleId="D29D5DD80C680343BCE939EA2170E719">
    <w:name w:val="D29D5DD80C680343BCE939EA2170E719"/>
  </w:style>
  <w:style w:type="paragraph" w:styleId="Bibliography">
    <w:name w:val="Bibliography"/>
    <w:basedOn w:val="Normal"/>
    <w:next w:val="Normal"/>
    <w:uiPriority w:val="37"/>
    <w:semiHidden/>
    <w:unhideWhenUsed/>
  </w:style>
  <w:style w:type="paragraph" w:customStyle="1" w:styleId="15721E49F6CC0441B5145163BE850007">
    <w:name w:val="15721E49F6CC0441B5145163BE850007"/>
  </w:style>
  <w:style w:type="paragraph" w:customStyle="1" w:styleId="765B2D09A31400478CE6F8D47AEF0A9A">
    <w:name w:val="765B2D09A31400478CE6F8D47AEF0A9A"/>
  </w:style>
  <w:style w:type="paragraph" w:customStyle="1" w:styleId="5956D0D227D4694393FB8B68F7AE6127">
    <w:name w:val="5956D0D227D4694393FB8B68F7AE6127"/>
  </w:style>
  <w:style w:type="paragraph" w:customStyle="1" w:styleId="E9A3A0FAB248794EA73C579A95D40A22">
    <w:name w:val="E9A3A0FAB248794EA73C579A95D40A22"/>
  </w:style>
  <w:style w:type="paragraph" w:customStyle="1" w:styleId="65C500F79EAC8A4FA4EAC7CBA930E8F0">
    <w:name w:val="65C500F79EAC8A4FA4EAC7CBA930E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Case study paper</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8B2303-F514-4E15-89A3-727D86B0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{9349547D-C7F2-AF4A-B804-74F78CAA31E4}tf10002091.dotx</Template>
  <TotalTime>0</TotalTime>
  <Pages>20</Pages>
  <Words>3951</Words>
  <Characters>22524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Case study paper</vt:lpstr>
    </vt:vector>
  </TitlesOfParts>
  <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paper</dc:title>
  <dc:subject/>
  <dc:creator>Microsoft Office User</dc:creator>
  <cp:keywords/>
  <dc:description/>
  <cp:lastModifiedBy>Dasa, Asma</cp:lastModifiedBy>
  <cp:revision>3</cp:revision>
  <cp:lastPrinted>2026-05-08T22:42:00Z</cp:lastPrinted>
  <dcterms:created xsi:type="dcterms:W3CDTF">2026-05-08T22:42:00Z</dcterms:created>
  <dcterms:modified xsi:type="dcterms:W3CDTF">2026-05-08T22:42:00Z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